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7A9AC">
      <w:pPr>
        <w:pStyle w:val="241"/>
        <w:framePr w:wrap="around"/>
        <w:rPr>
          <w:rFonts w:hAnsi="黑体" w:cs="黑体"/>
          <w:color w:val="000000"/>
        </w:rPr>
      </w:pPr>
      <w:r>
        <w:rPr>
          <w:rFonts w:hint="eastAsia" w:hAnsi="黑体" w:cs="黑体"/>
          <w:color w:val="000000"/>
        </w:rPr>
        <w:t>ICS  43.080.99</w:t>
      </w:r>
    </w:p>
    <w:p w14:paraId="39902026">
      <w:pPr>
        <w:pStyle w:val="241"/>
        <w:framePr w:wrap="around"/>
        <w:rPr>
          <w:rFonts w:hAnsi="黑体" w:cs="黑体"/>
          <w:color w:val="000000"/>
        </w:rPr>
      </w:pPr>
      <w:r>
        <w:rPr>
          <w:rFonts w:hint="eastAsia" w:hAnsi="黑体" w:cs="黑体"/>
          <w:color w:val="000000"/>
        </w:rPr>
        <w:t>CCS  T 47</w:t>
      </w:r>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34894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6A39C80C">
            <w:pPr>
              <w:pStyle w:val="241"/>
              <w:framePr w:wrap="around"/>
              <w:rPr>
                <w:color w:val="000000"/>
              </w:rPr>
            </w:pPr>
            <w:r>
              <w:rPr>
                <w:color w:val="000000"/>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74FBF6DE"/>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zvt2LUBAAByAwAADgAAAGRycy9lMm9Eb2MueG1srVNNb9sw&#10;DL0P2H8QdF8cZ1i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0zvt2LUBAAByAwAADgAAAAAAAAABACAAAAAkAQAAZHJzL2Uyb0RvYy54bWxQSwUGAAAAAAYA&#10;BgBZAQAASwUAAAAA&#10;">
                      <v:fill on="t" focussize="0,0"/>
                      <v:stroke on="f"/>
                      <v:imagedata o:title=""/>
                      <o:lock v:ext="edit" aspectratio="f"/>
                      <v:textbox>
                        <w:txbxContent>
                          <w:p w14:paraId="74FBF6DE"/>
                        </w:txbxContent>
                      </v:textbox>
                    </v:rect>
                  </w:pict>
                </mc:Fallback>
              </mc:AlternateContent>
            </w:r>
            <w:r>
              <w:rPr>
                <w:color w:val="000000"/>
              </w:rPr>
              <w:fldChar w:fldCharType="begin">
                <w:ffData>
                  <w:name w:val="BAH"/>
                  <w:enabled/>
                  <w:calcOnExit w:val="0"/>
                  <w:textInput/>
                </w:ffData>
              </w:fldChar>
            </w:r>
            <w:bookmarkStart w:id="0" w:name="BAH"/>
            <w:r>
              <w:rPr>
                <w:color w:val="000000"/>
              </w:rPr>
              <w:instrText xml:space="preserve"> FORMTEXT </w:instrText>
            </w:r>
            <w:r>
              <w:rPr>
                <w:color w:val="000000"/>
              </w:rPr>
              <w:fldChar w:fldCharType="separate"/>
            </w:r>
            <w:r>
              <w:rPr>
                <w:color w:val="000000"/>
              </w:rPr>
              <w:t>     </w:t>
            </w:r>
            <w:r>
              <w:rPr>
                <w:color w:val="000000"/>
              </w:rPr>
              <w:fldChar w:fldCharType="end"/>
            </w:r>
            <w:bookmarkEnd w:id="0"/>
          </w:p>
        </w:tc>
      </w:tr>
    </w:tbl>
    <w:p w14:paraId="28269C59">
      <w:pPr>
        <w:pStyle w:val="233"/>
        <w:framePr w:wrap="around"/>
        <w:rPr>
          <w:color w:val="000000"/>
        </w:rPr>
      </w:pPr>
      <w:r>
        <w:rPr>
          <w:color w:val="000000"/>
        </w:rPr>
        <w:t>DB</w:t>
      </w:r>
      <w:bookmarkStart w:id="1" w:name="c3"/>
      <w:r>
        <w:rPr>
          <w:color w:val="000000"/>
        </w:rPr>
        <w:fldChar w:fldCharType="begin">
          <w:ffData>
            <w:name w:val="c3"/>
            <w:enabled/>
            <w:calcOnExit w:val="0"/>
            <w:textInput>
              <w:maxLength w:val="2"/>
            </w:textInput>
          </w:ffData>
        </w:fldChar>
      </w:r>
      <w:r>
        <w:rPr>
          <w:color w:val="000000"/>
        </w:rPr>
        <w:instrText xml:space="preserve"> FORMTEXT </w:instrText>
      </w:r>
      <w:r>
        <w:rPr>
          <w:color w:val="000000"/>
        </w:rPr>
        <w:fldChar w:fldCharType="separate"/>
      </w:r>
      <w:r>
        <w:rPr>
          <w:rFonts w:hint="eastAsia"/>
          <w:color w:val="000000"/>
        </w:rPr>
        <w:t>32</w:t>
      </w:r>
      <w:r>
        <w:rPr>
          <w:color w:val="000000"/>
        </w:rPr>
        <w:fldChar w:fldCharType="end"/>
      </w:r>
      <w:bookmarkEnd w:id="1"/>
    </w:p>
    <w:p w14:paraId="56ECA445">
      <w:pPr>
        <w:pStyle w:val="105"/>
        <w:framePr w:wrap="around"/>
        <w:rPr>
          <w:color w:val="000000"/>
        </w:rPr>
      </w:pPr>
      <w:r>
        <w:rPr>
          <w:rFonts w:hint="eastAsia"/>
          <w:color w:val="000000"/>
        </w:rPr>
        <w:t>江苏省地方标准</w:t>
      </w:r>
    </w:p>
    <w:p w14:paraId="393DA6BA">
      <w:pPr>
        <w:pStyle w:val="152"/>
        <w:framePr w:wrap="around"/>
        <w:rPr>
          <w:rFonts w:hAnsi="黑体"/>
          <w:color w:val="000000"/>
        </w:rPr>
      </w:pPr>
      <w:r>
        <w:rPr>
          <w:rFonts w:hint="eastAsia" w:hAnsi="黑体" w:cs="黑体"/>
          <w:color w:val="000000"/>
        </w:rPr>
        <w:t>DB</w:t>
      </w:r>
      <w:r>
        <w:rPr>
          <w:rFonts w:ascii="Times New Roman"/>
          <w:color w:val="000000"/>
        </w:rPr>
        <w:t xml:space="preserve"> </w:t>
      </w:r>
      <w:r>
        <w:rPr>
          <w:rFonts w:hint="eastAsia" w:hAnsi="黑体"/>
          <w:color w:val="000000"/>
        </w:rPr>
        <w:t>32/T XXX</w:t>
      </w:r>
      <w:r>
        <w:rPr>
          <w:rFonts w:hAnsi="黑体"/>
          <w:color w:val="000000"/>
        </w:rPr>
        <w:t>—</w:t>
      </w:r>
      <w:r>
        <w:rPr>
          <w:rFonts w:hint="eastAsia" w:hAnsi="黑体"/>
          <w:color w:val="000000"/>
        </w:rPr>
        <w:t>2026</w:t>
      </w:r>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B6FF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5232B8B">
            <w:pPr>
              <w:pStyle w:val="214"/>
              <w:framePr w:wrap="around"/>
              <w:rPr>
                <w:color w:val="000000"/>
              </w:rPr>
            </w:pPr>
            <w:bookmarkStart w:id="2" w:name="DT"/>
            <w:r>
              <w:rPr>
                <w:color w:val="000000"/>
              </w:rPr>
              <w:fldChar w:fldCharType="begin">
                <w:ffData>
                  <w:name w:val="DT"/>
                  <w:enabled/>
                  <w:calcOnExit w:val="0"/>
                  <w:textInput/>
                </w:ffData>
              </w:fldChar>
            </w:r>
            <w:r>
              <w:rPr>
                <w:color w:val="000000"/>
              </w:rPr>
              <w:instrText xml:space="preserve"> FORMTEXT </w:instrText>
            </w:r>
            <w:r>
              <w:rPr>
                <w:color w:val="000000"/>
              </w:rPr>
              <w:fldChar w:fldCharType="separate"/>
            </w:r>
            <w:r>
              <w:rPr>
                <w:color w:val="000000"/>
              </w:rPr>
              <w:t>     </w:t>
            </w:r>
            <w:r>
              <w:rPr>
                <w:color w:val="000000"/>
              </w:rPr>
              <w:fldChar w:fldCharType="end"/>
            </w:r>
            <w:bookmarkEnd w:id="2"/>
          </w:p>
        </w:tc>
      </w:tr>
    </w:tbl>
    <w:p w14:paraId="6B3EF3E8">
      <w:pPr>
        <w:pStyle w:val="152"/>
        <w:framePr w:wrap="around"/>
        <w:rPr>
          <w:rFonts w:hAnsi="黑体"/>
          <w:color w:val="000000"/>
        </w:rPr>
      </w:pPr>
    </w:p>
    <w:p w14:paraId="5A8C47FC">
      <w:pPr>
        <w:pStyle w:val="152"/>
        <w:framePr w:wrap="around"/>
        <w:rPr>
          <w:rFonts w:hAnsi="黑体"/>
          <w:color w:val="000000"/>
        </w:rPr>
      </w:pPr>
    </w:p>
    <w:p w14:paraId="6A8893D2">
      <w:pPr>
        <w:pStyle w:val="143"/>
        <w:framePr w:wrap="around" w:x="1509" w:y="5024"/>
        <w:rPr>
          <w:color w:val="000000"/>
        </w:rPr>
      </w:pPr>
      <w:r>
        <w:rPr>
          <w:rFonts w:hint="eastAsia"/>
        </w:rPr>
        <w:t>低压台区电动汽车有序充电系统技术规范</w:t>
      </w:r>
    </w:p>
    <w:p w14:paraId="6D81AEEC">
      <w:pPr>
        <w:pStyle w:val="142"/>
        <w:framePr w:wrap="around" w:x="1509" w:y="5024"/>
        <w:rPr>
          <w:rFonts w:ascii="黑体" w:hAnsi="黑体"/>
          <w:color w:val="000000"/>
        </w:rPr>
      </w:pPr>
      <w:r>
        <w:rPr>
          <w:rFonts w:hint="eastAsia" w:ascii="黑体" w:hAnsi="黑体"/>
          <w:color w:val="000000"/>
        </w:rPr>
        <w:t>Technical specification for coordinated charging system of electric vehicles in low-voltage transformer district</w:t>
      </w:r>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454B4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D494AAB">
            <w:pPr>
              <w:pStyle w:val="140"/>
              <w:framePr w:wrap="around" w:x="1509" w:y="5024"/>
              <w:rPr>
                <w:color w:val="000000"/>
              </w:rPr>
            </w:pPr>
            <w:r>
              <w:rPr>
                <w:color w:val="000000"/>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06471ED1">
                                  <w:pPr>
                                    <w:jc w:val="both"/>
                                  </w:pPr>
                                </w:p>
                              </w:txbxContent>
                            </wps:txbx>
                            <wps:bodyPr wrap="square" upright="1"/>
                          </wps:wsp>
                        </a:graphicData>
                      </a:graphic>
                    </wp:anchor>
                  </w:drawing>
                </mc:Choice>
                <mc:Fallback>
                  <w:pict>
                    <v:rect id="RQ" o:spid="_x0000_s1026" o:spt="1" style="position:absolute;left:0pt;margin-left:173.3pt;margin-top:45.15pt;height:20pt;width:150pt;z-index:-25165721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DF+1ix&#10;rgEAAHIDAAAOAAAAAAAAAAEAIAAAACQBAABkcnMvZTJvRG9jLnhtbFBLBQYAAAAABgAGAFkBAABE&#10;BQAAAAA=&#10;">
                      <v:fill on="t" focussize="0,0"/>
                      <v:stroke on="f"/>
                      <v:imagedata o:title=""/>
                      <o:lock v:ext="edit" aspectratio="f"/>
                      <v:textbox>
                        <w:txbxContent>
                          <w:p w14:paraId="06471ED1">
                            <w:pPr>
                              <w:jc w:val="both"/>
                            </w:pPr>
                          </w:p>
                        </w:txbxContent>
                      </v:textbox>
                      <w10:anchorlock/>
                    </v:rect>
                  </w:pict>
                </mc:Fallback>
              </mc:AlternateContent>
            </w:r>
            <w:r>
              <w:rPr>
                <w:color w:val="000000"/>
              </w:rPr>
              <mc:AlternateContent>
                <mc:Choice Requires="wps">
                  <w:drawing>
                    <wp:anchor distT="0" distB="0" distL="114300" distR="114300" simplePos="0" relativeHeight="25166540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5F1CA246"/>
                              </w:txbxContent>
                            </wps:txbx>
                            <wps:bodyPr wrap="square" upright="1"/>
                          </wps:wsp>
                        </a:graphicData>
                      </a:graphic>
                    </wp:anchor>
                  </w:drawing>
                </mc:Choice>
                <mc:Fallback>
                  <w:pict>
                    <v:rect id="LB" o:spid="_x0000_s1026" o:spt="1" style="position:absolute;left:0pt;margin-left:193.3pt;margin-top:20.15pt;height:24pt;width:100pt;z-index:-25165107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GL5dYA&#10;AAAJAQAADwAAAAAAAAABACAAAAAiAAAAZHJzL2Rvd25yZXYueG1sUEsBAhQAFAAAAAgAh07iQCW/&#10;PoivAQAAcgMAAA4AAAAAAAAAAQAgAAAAJQEAAGRycy9lMm9Eb2MueG1sUEsFBgAAAAAGAAYAWQEA&#10;AEYFAAAAAA==&#10;">
                      <v:fill on="t" focussize="0,0"/>
                      <v:stroke on="f"/>
                      <v:imagedata o:title=""/>
                      <o:lock v:ext="edit" aspectratio="f"/>
                      <v:textbox>
                        <w:txbxContent>
                          <w:p w14:paraId="5F1CA246"/>
                        </w:txbxContent>
                      </v:textbox>
                    </v:rect>
                  </w:pict>
                </mc:Fallback>
              </mc:AlternateContent>
            </w:r>
            <w:r>
              <w:rPr>
                <w:rFonts w:hint="eastAsia"/>
                <w:color w:val="000000"/>
              </w:rPr>
              <w:t>（报批稿）</w:t>
            </w:r>
          </w:p>
        </w:tc>
      </w:tr>
      <w:tr w14:paraId="70B05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34F1146">
            <w:pPr>
              <w:pStyle w:val="176"/>
              <w:framePr w:wrap="around" w:x="1509" w:y="5024"/>
              <w:rPr>
                <w:color w:val="000000"/>
              </w:rPr>
            </w:pPr>
          </w:p>
        </w:tc>
      </w:tr>
    </w:tbl>
    <w:p w14:paraId="6F1FD958">
      <w:pPr>
        <w:pStyle w:val="141"/>
        <w:framePr w:wrap="around" w:x="1509" w:y="5024"/>
        <w:jc w:val="both"/>
        <w:rPr>
          <w:color w:val="000000"/>
        </w:rPr>
      </w:pPr>
    </w:p>
    <w:p w14:paraId="6935EA03">
      <w:pPr>
        <w:pStyle w:val="248"/>
        <w:framePr w:wrap="around" w:hAnchor="page" w:x="1525" w:y="14089"/>
        <w:rPr>
          <w:color w:val="000000"/>
        </w:rPr>
      </w:pPr>
      <w:bookmarkStart w:id="3" w:name="FY"/>
      <w:r>
        <w:rPr>
          <w:rFonts w:ascii="黑体"/>
          <w:color w:val="000000"/>
        </w:rPr>
        <w:fldChar w:fldCharType="begin">
          <w:ffData>
            <w:name w:val="FY"/>
            <w:enabled/>
            <w:calcOnExit w:val="0"/>
            <w:textInput>
              <w:default w:val="2026"/>
              <w:maxLength w:val="4"/>
            </w:textInput>
          </w:ffData>
        </w:fldChar>
      </w:r>
      <w:r>
        <w:rPr>
          <w:rFonts w:ascii="黑体"/>
          <w:color w:val="000000"/>
        </w:rPr>
        <w:instrText xml:space="preserve">FORMTEXT</w:instrText>
      </w:r>
      <w:r>
        <w:rPr>
          <w:rFonts w:ascii="黑体"/>
          <w:color w:val="000000"/>
        </w:rPr>
        <w:fldChar w:fldCharType="separate"/>
      </w:r>
      <w:r>
        <w:rPr>
          <w:rFonts w:ascii="黑体"/>
          <w:color w:val="000000"/>
        </w:rPr>
        <w:t>2026</w:t>
      </w:r>
      <w:r>
        <w:rPr>
          <w:rFonts w:ascii="黑体"/>
          <w:color w:val="000000"/>
        </w:rPr>
        <w:fldChar w:fldCharType="end"/>
      </w:r>
      <w:bookmarkEnd w:id="3"/>
      <w:r>
        <w:rPr>
          <w:color w:val="000000"/>
        </w:rPr>
        <w:t xml:space="preserve"> </w:t>
      </w:r>
      <w:r>
        <w:rPr>
          <w:rFonts w:ascii="黑体"/>
          <w:color w:val="000000"/>
        </w:rPr>
        <w:t>-</w:t>
      </w:r>
      <w:r>
        <w:rPr>
          <w:color w:val="000000"/>
        </w:rPr>
        <w:t xml:space="preserve"> </w:t>
      </w:r>
      <w:r>
        <w:rPr>
          <w:rFonts w:ascii="黑体"/>
          <w:color w:val="000000"/>
        </w:rPr>
        <w:fldChar w:fldCharType="begin">
          <w:ffData>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r>
        <w:rPr>
          <w:color w:val="000000"/>
        </w:rPr>
        <w:t xml:space="preserve"> </w:t>
      </w:r>
      <w:r>
        <w:rPr>
          <w:rFonts w:ascii="黑体"/>
          <w:color w:val="000000"/>
        </w:rPr>
        <w:t>-</w:t>
      </w:r>
      <w:r>
        <w:rPr>
          <w:color w:val="000000"/>
        </w:rPr>
        <w:t xml:space="preserve"> </w:t>
      </w:r>
      <w:bookmarkStart w:id="4" w:name="FD"/>
      <w:r>
        <w:rPr>
          <w:rFonts w:ascii="黑体"/>
          <w:color w:val="000000"/>
        </w:rPr>
        <w:fldChar w:fldCharType="begin">
          <w:ffData>
            <w:name w:val="FD"/>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4"/>
      <w:r>
        <w:rPr>
          <w:rFonts w:hint="eastAsia"/>
          <w:color w:val="000000"/>
        </w:rPr>
        <w:t>发布</w:t>
      </w:r>
      <w:r>
        <w:rPr>
          <w:color w:val="000000"/>
        </w:rPr>
        <mc:AlternateContent>
          <mc:Choice Requires="wps">
            <w:drawing>
              <wp:anchor distT="0" distB="0" distL="114300" distR="114300" simplePos="0" relativeHeight="251666432"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6"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0.05pt;margin-top:728.5pt;height:0pt;width:481.9pt;mso-position-vertical-relative:page;z-index:25166643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vcLnid4BAADPAwAA&#10;DgAAAAAAAAABACAAAAAlAQAAZHJzL2Uyb0RvYy54bWxQSwUGAAAAAAYABgBZAQAAdQUAAAAA&#10;">
                <v:fill on="f" focussize="0,0"/>
                <v:stroke color="#000000" joinstyle="round"/>
                <v:imagedata o:title=""/>
                <o:lock v:ext="edit" aspectratio="f"/>
                <w10:anchorlock/>
              </v:line>
            </w:pict>
          </mc:Fallback>
        </mc:AlternateContent>
      </w:r>
    </w:p>
    <w:p w14:paraId="0569A424">
      <w:pPr>
        <w:pStyle w:val="249"/>
        <w:framePr w:wrap="around" w:hAnchor="page" w:x="7141" w:y="14101"/>
        <w:rPr>
          <w:color w:val="000000"/>
        </w:rPr>
      </w:pPr>
      <w:bookmarkStart w:id="5" w:name="SY"/>
      <w:r>
        <w:rPr>
          <w:rFonts w:ascii="黑体"/>
          <w:color w:val="000000"/>
        </w:rPr>
        <w:fldChar w:fldCharType="begin">
          <w:ffData>
            <w:name w:val="SY"/>
            <w:enabled/>
            <w:calcOnExit w:val="0"/>
            <w:textInput>
              <w:default w:val="2026"/>
              <w:maxLength w:val="4"/>
            </w:textInput>
          </w:ffData>
        </w:fldChar>
      </w:r>
      <w:r>
        <w:rPr>
          <w:rFonts w:ascii="黑体"/>
          <w:color w:val="000000"/>
        </w:rPr>
        <w:instrText xml:space="preserve">FORMTEXT</w:instrText>
      </w:r>
      <w:r>
        <w:rPr>
          <w:rFonts w:ascii="黑体"/>
          <w:color w:val="000000"/>
        </w:rPr>
        <w:fldChar w:fldCharType="separate"/>
      </w:r>
      <w:r>
        <w:rPr>
          <w:rFonts w:ascii="黑体"/>
          <w:color w:val="000000"/>
        </w:rPr>
        <w:t>2026</w:t>
      </w:r>
      <w:r>
        <w:rPr>
          <w:rFonts w:ascii="黑体"/>
          <w:color w:val="000000"/>
        </w:rPr>
        <w:fldChar w:fldCharType="end"/>
      </w:r>
      <w:bookmarkEnd w:id="5"/>
      <w:r>
        <w:rPr>
          <w:color w:val="000000"/>
        </w:rPr>
        <w:t xml:space="preserve"> </w:t>
      </w:r>
      <w:r>
        <w:rPr>
          <w:rFonts w:ascii="黑体"/>
          <w:color w:val="000000"/>
        </w:rPr>
        <w:t>-</w:t>
      </w:r>
      <w:r>
        <w:rPr>
          <w:color w:val="000000"/>
        </w:rPr>
        <w:t xml:space="preserve"> </w:t>
      </w:r>
      <w:bookmarkStart w:id="6" w:name="SM"/>
      <w:r>
        <w:rPr>
          <w:rFonts w:ascii="黑体"/>
          <w:color w:val="000000"/>
        </w:rPr>
        <w:fldChar w:fldCharType="begin">
          <w:ffData>
            <w:name w:val="SM"/>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6"/>
      <w:r>
        <w:rPr>
          <w:color w:val="000000"/>
        </w:rPr>
        <w:t xml:space="preserve"> </w:t>
      </w:r>
      <w:r>
        <w:rPr>
          <w:rFonts w:ascii="黑体"/>
          <w:color w:val="000000"/>
        </w:rPr>
        <w:t>-</w:t>
      </w:r>
      <w:r>
        <w:rPr>
          <w:color w:val="000000"/>
        </w:rPr>
        <w:t xml:space="preserve"> </w:t>
      </w:r>
      <w:bookmarkStart w:id="7" w:name="SD"/>
      <w:r>
        <w:rPr>
          <w:rFonts w:ascii="黑体"/>
          <w:color w:val="000000"/>
        </w:rPr>
        <w:fldChar w:fldCharType="begin">
          <w:ffData>
            <w:name w:val="SD"/>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7"/>
      <w:r>
        <w:rPr>
          <w:rFonts w:hint="eastAsia"/>
          <w:color w:val="000000"/>
        </w:rPr>
        <w:t>实施</w:t>
      </w:r>
    </w:p>
    <w:p w14:paraId="27F718F1">
      <w:pPr>
        <w:pStyle w:val="234"/>
        <w:framePr w:h="782" w:hRule="exact" w:wrap="around" w:x="2286" w:y="14975"/>
        <w:rPr>
          <w:color w:val="000000"/>
        </w:rPr>
      </w:pPr>
      <w:bookmarkStart w:id="8" w:name="fm"/>
      <w:r>
        <w:rPr>
          <w:color w:val="000000"/>
        </w:rP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14E7A326"/>
                        </w:txbxContent>
                      </wps:txbx>
                      <wps:bodyPr wrap="square" upright="1"/>
                    </wps:wsp>
                  </a:graphicData>
                </a:graphic>
              </wp:anchor>
            </w:drawing>
          </mc:Choice>
          <mc:Fallback>
            <w:pict>
              <v:rect id="DT"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14:paraId="14E7A326"/>
                  </w:txbxContent>
                </v:textbox>
              </v:rect>
            </w:pict>
          </mc:Fallback>
        </mc:AlternateContent>
      </w:r>
      <w:r>
        <w:rPr>
          <w:color w:val="0000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7"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2eMT8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OPDi68IfvPx5+&#10;/mLLos0YsaWQW79Npx3GbSpEDzq58icK7FD1PJ71VIfMBDmvF0TqNUktHs+ap8SYMH9QwbFidNwa&#10;X6hCC/uPmKkYhT6GFLf1bOz4u6vlFcEB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Z4xPw3gEAAM8D&#10;AAAOAAAAAAAAAAEAIAAAACcBAABkcnMvZTJvRG9jLnhtbFBLBQYAAAAABgAGAFkBAAB3BQAAAAA=&#10;">
                <v:fill on="f" focussize="0,0"/>
                <v:stroke color="#000000" joinstyle="round"/>
                <v:imagedata o:title=""/>
                <o:lock v:ext="edit" aspectratio="f"/>
              </v:line>
            </w:pict>
          </mc:Fallback>
        </mc:AlternateContent>
      </w:r>
      <w:bookmarkEnd w:id="8"/>
      <w:r>
        <w:rPr>
          <w:rFonts w:hint="eastAsia"/>
          <w:color w:val="000000"/>
          <w:spacing w:val="31"/>
          <w:w w:val="100"/>
          <w:kern w:val="0"/>
          <w:fitText w:val="3360" w:id="-1293783037"/>
        </w:rPr>
        <w:t>江苏省市场监督管理</w:t>
      </w:r>
      <w:r>
        <w:rPr>
          <w:rFonts w:hint="eastAsia"/>
          <w:color w:val="000000"/>
          <w:spacing w:val="1"/>
          <w:w w:val="100"/>
          <w:kern w:val="0"/>
          <w:fitText w:val="3360" w:id="-1293783037"/>
        </w:rPr>
        <w:t>局</w:t>
      </w:r>
      <w:r>
        <w:rPr>
          <w:rFonts w:hint="eastAsia"/>
          <w:color w:val="000000"/>
          <w:spacing w:val="0"/>
          <w:w w:val="100"/>
        </w:rPr>
        <w:t xml:space="preserve">     发布</w:t>
      </w:r>
    </w:p>
    <w:p w14:paraId="161CC4A0">
      <w:pPr>
        <w:pStyle w:val="34"/>
        <w:spacing w:before="156" w:after="156"/>
        <w:ind w:firstLine="480"/>
        <w:rPr>
          <w:color w:val="000000"/>
        </w:rPr>
        <w:sectPr>
          <w:headerReference r:id="rId3" w:type="even"/>
          <w:footerReference r:id="rId4" w:type="even"/>
          <w:pgSz w:w="11906" w:h="16838"/>
          <w:pgMar w:top="567" w:right="850" w:bottom="1134" w:left="1418" w:header="0" w:footer="0" w:gutter="0"/>
          <w:pgNumType w:start="1"/>
          <w:cols w:space="720" w:num="1"/>
          <w:docGrid w:type="lines" w:linePitch="312" w:charSpace="0"/>
        </w:sectPr>
      </w:pPr>
    </w:p>
    <w:sdt>
      <w:sdtPr>
        <w:rPr>
          <w:rFonts w:ascii="宋体" w:hAnsi="宋体" w:eastAsia="宋体"/>
          <w:kern w:val="2"/>
          <w:sz w:val="21"/>
          <w:szCs w:val="24"/>
        </w:rPr>
        <w:id w:val="147463784"/>
        <w15:color w:val="DBDBDB"/>
        <w:docPartObj>
          <w:docPartGallery w:val="Table of Contents"/>
          <w:docPartUnique/>
        </w:docPartObj>
      </w:sdtPr>
      <w:sdtEndPr>
        <w:rPr>
          <w:rFonts w:hint="eastAsia" w:ascii="宋体" w:hAnsi="宋体" w:eastAsia="宋体"/>
          <w:kern w:val="2"/>
          <w:sz w:val="24"/>
          <w:szCs w:val="24"/>
        </w:rPr>
      </w:sdtEndPr>
      <w:sdtContent>
        <w:p w14:paraId="4FAB0616">
          <w:pPr>
            <w:pStyle w:val="144"/>
          </w:pPr>
          <w:r>
            <w:rPr>
              <w:rFonts w:hint="eastAsia"/>
            </w:rPr>
            <w:t>目    次</w:t>
          </w:r>
        </w:p>
        <w:p w14:paraId="2820324B">
          <w:pPr>
            <w:pStyle w:val="39"/>
            <w:tabs>
              <w:tab w:val="right" w:leader="dot" w:pos="9354"/>
              <w:tab w:val="clear" w:pos="9241"/>
            </w:tabs>
            <w:rPr>
              <w:rFonts w:cs="宋体"/>
            </w:rPr>
          </w:pPr>
          <w:r>
            <w:rPr>
              <w:rFonts w:hint="eastAsia" w:cs="宋体"/>
            </w:rPr>
            <w:fldChar w:fldCharType="begin"/>
          </w:r>
          <w:r>
            <w:rPr>
              <w:rFonts w:hint="eastAsia" w:cs="宋体"/>
            </w:rPr>
            <w:instrText xml:space="preserve">TOC \o "1-2" \h \u </w:instrText>
          </w:r>
          <w:r>
            <w:rPr>
              <w:rFonts w:hint="eastAsia" w:cs="宋体"/>
            </w:rPr>
            <w:fldChar w:fldCharType="separate"/>
          </w:r>
          <w:r>
            <w:fldChar w:fldCharType="begin"/>
          </w:r>
          <w:r>
            <w:instrText xml:space="preserve"> HYPERLINK \l "_Toc28348" </w:instrText>
          </w:r>
          <w:r>
            <w:fldChar w:fldCharType="separate"/>
          </w:r>
          <w:r>
            <w:rPr>
              <w:rFonts w:hint="eastAsia" w:cs="宋体"/>
            </w:rPr>
            <w:t>前    言</w:t>
          </w:r>
          <w:r>
            <w:rPr>
              <w:rFonts w:hint="eastAsia" w:cs="宋体"/>
            </w:rPr>
            <w:tab/>
          </w:r>
          <w:r>
            <w:rPr>
              <w:rFonts w:hint="eastAsia" w:cs="宋体"/>
            </w:rPr>
            <w:fldChar w:fldCharType="begin"/>
          </w:r>
          <w:r>
            <w:rPr>
              <w:rFonts w:hint="eastAsia" w:cs="宋体"/>
            </w:rPr>
            <w:instrText xml:space="preserve"> PAGEREF _Toc28348 \h </w:instrText>
          </w:r>
          <w:r>
            <w:rPr>
              <w:rFonts w:hint="eastAsia" w:cs="宋体"/>
            </w:rPr>
            <w:fldChar w:fldCharType="separate"/>
          </w:r>
          <w:r>
            <w:rPr>
              <w:rFonts w:hint="eastAsia" w:cs="宋体"/>
            </w:rPr>
            <w:t>II</w:t>
          </w:r>
          <w:r>
            <w:rPr>
              <w:rFonts w:hint="eastAsia" w:cs="宋体"/>
            </w:rPr>
            <w:fldChar w:fldCharType="end"/>
          </w:r>
          <w:r>
            <w:rPr>
              <w:rFonts w:hint="eastAsia" w:cs="宋体"/>
            </w:rPr>
            <w:fldChar w:fldCharType="end"/>
          </w:r>
        </w:p>
        <w:p w14:paraId="5AC91802">
          <w:pPr>
            <w:pStyle w:val="39"/>
            <w:tabs>
              <w:tab w:val="right" w:leader="dot" w:pos="9354"/>
              <w:tab w:val="clear" w:pos="9241"/>
            </w:tabs>
            <w:rPr>
              <w:rFonts w:cs="宋体"/>
            </w:rPr>
          </w:pPr>
          <w:r>
            <w:fldChar w:fldCharType="begin"/>
          </w:r>
          <w:r>
            <w:instrText xml:space="preserve"> HYPERLINK \l "_Toc25846" </w:instrText>
          </w:r>
          <w:r>
            <w:fldChar w:fldCharType="separate"/>
          </w:r>
          <w:r>
            <w:rPr>
              <w:rFonts w:hint="eastAsia" w:cs="宋体"/>
            </w:rPr>
            <w:t>1 范围</w:t>
          </w:r>
          <w:r>
            <w:rPr>
              <w:rFonts w:hint="eastAsia" w:cs="宋体"/>
            </w:rPr>
            <w:tab/>
          </w:r>
          <w:r>
            <w:rPr>
              <w:rFonts w:hint="eastAsia" w:cs="宋体"/>
            </w:rPr>
            <w:fldChar w:fldCharType="begin"/>
          </w:r>
          <w:r>
            <w:rPr>
              <w:rFonts w:hint="eastAsia" w:cs="宋体"/>
            </w:rPr>
            <w:instrText xml:space="preserve"> PAGEREF _Toc25846 \h </w:instrText>
          </w:r>
          <w:r>
            <w:rPr>
              <w:rFonts w:hint="eastAsia" w:cs="宋体"/>
            </w:rPr>
            <w:fldChar w:fldCharType="separate"/>
          </w:r>
          <w:r>
            <w:rPr>
              <w:rFonts w:hint="eastAsia" w:cs="宋体"/>
            </w:rPr>
            <w:t>1</w:t>
          </w:r>
          <w:r>
            <w:rPr>
              <w:rFonts w:hint="eastAsia" w:cs="宋体"/>
            </w:rPr>
            <w:fldChar w:fldCharType="end"/>
          </w:r>
          <w:r>
            <w:rPr>
              <w:rFonts w:hint="eastAsia" w:cs="宋体"/>
            </w:rPr>
            <w:fldChar w:fldCharType="end"/>
          </w:r>
        </w:p>
        <w:p w14:paraId="1048E6D2">
          <w:pPr>
            <w:pStyle w:val="39"/>
            <w:tabs>
              <w:tab w:val="right" w:leader="dot" w:pos="9354"/>
              <w:tab w:val="clear" w:pos="9241"/>
            </w:tabs>
            <w:rPr>
              <w:rFonts w:cs="宋体"/>
            </w:rPr>
          </w:pPr>
          <w:r>
            <w:fldChar w:fldCharType="begin"/>
          </w:r>
          <w:r>
            <w:instrText xml:space="preserve"> HYPERLINK \l "_Toc5137" </w:instrText>
          </w:r>
          <w:r>
            <w:fldChar w:fldCharType="separate"/>
          </w:r>
          <w:r>
            <w:rPr>
              <w:rFonts w:hint="eastAsia" w:cs="宋体"/>
            </w:rPr>
            <w:t>2 规范性引用文件</w:t>
          </w:r>
          <w:r>
            <w:rPr>
              <w:rFonts w:hint="eastAsia" w:cs="宋体"/>
            </w:rPr>
            <w:tab/>
          </w:r>
          <w:r>
            <w:rPr>
              <w:rFonts w:hint="eastAsia" w:cs="宋体"/>
            </w:rPr>
            <w:fldChar w:fldCharType="begin"/>
          </w:r>
          <w:r>
            <w:rPr>
              <w:rFonts w:hint="eastAsia" w:cs="宋体"/>
            </w:rPr>
            <w:instrText xml:space="preserve"> PAGEREF _Toc5137 \h </w:instrText>
          </w:r>
          <w:r>
            <w:rPr>
              <w:rFonts w:hint="eastAsia" w:cs="宋体"/>
            </w:rPr>
            <w:fldChar w:fldCharType="separate"/>
          </w:r>
          <w:r>
            <w:rPr>
              <w:rFonts w:hint="eastAsia" w:cs="宋体"/>
            </w:rPr>
            <w:t>1</w:t>
          </w:r>
          <w:r>
            <w:rPr>
              <w:rFonts w:hint="eastAsia" w:cs="宋体"/>
            </w:rPr>
            <w:fldChar w:fldCharType="end"/>
          </w:r>
          <w:r>
            <w:rPr>
              <w:rFonts w:hint="eastAsia" w:cs="宋体"/>
            </w:rPr>
            <w:fldChar w:fldCharType="end"/>
          </w:r>
        </w:p>
        <w:p w14:paraId="24F870A9">
          <w:pPr>
            <w:pStyle w:val="39"/>
            <w:tabs>
              <w:tab w:val="right" w:leader="dot" w:pos="9354"/>
              <w:tab w:val="clear" w:pos="9241"/>
            </w:tabs>
            <w:rPr>
              <w:rFonts w:cs="宋体"/>
            </w:rPr>
          </w:pPr>
          <w:r>
            <w:fldChar w:fldCharType="begin"/>
          </w:r>
          <w:r>
            <w:instrText xml:space="preserve"> HYPERLINK \l "_Toc5618" </w:instrText>
          </w:r>
          <w:r>
            <w:fldChar w:fldCharType="separate"/>
          </w:r>
          <w:r>
            <w:rPr>
              <w:rFonts w:hint="eastAsia" w:cs="宋体"/>
            </w:rPr>
            <w:t>3 术语和定义</w:t>
          </w:r>
          <w:r>
            <w:rPr>
              <w:rFonts w:hint="eastAsia" w:cs="宋体"/>
            </w:rPr>
            <w:tab/>
          </w:r>
          <w:r>
            <w:rPr>
              <w:rFonts w:hint="eastAsia" w:cs="宋体"/>
            </w:rPr>
            <w:fldChar w:fldCharType="begin"/>
          </w:r>
          <w:r>
            <w:rPr>
              <w:rFonts w:hint="eastAsia" w:cs="宋体"/>
            </w:rPr>
            <w:instrText xml:space="preserve"> PAGEREF _Toc5618 \h </w:instrText>
          </w:r>
          <w:r>
            <w:rPr>
              <w:rFonts w:hint="eastAsia" w:cs="宋体"/>
            </w:rPr>
            <w:fldChar w:fldCharType="separate"/>
          </w:r>
          <w:r>
            <w:rPr>
              <w:rFonts w:hint="eastAsia" w:cs="宋体"/>
            </w:rPr>
            <w:t>1</w:t>
          </w:r>
          <w:r>
            <w:rPr>
              <w:rFonts w:hint="eastAsia" w:cs="宋体"/>
            </w:rPr>
            <w:fldChar w:fldCharType="end"/>
          </w:r>
          <w:r>
            <w:rPr>
              <w:rFonts w:hint="eastAsia" w:cs="宋体"/>
            </w:rPr>
            <w:fldChar w:fldCharType="end"/>
          </w:r>
        </w:p>
        <w:p w14:paraId="610B1581">
          <w:pPr>
            <w:pStyle w:val="39"/>
            <w:tabs>
              <w:tab w:val="right" w:leader="dot" w:pos="9354"/>
              <w:tab w:val="clear" w:pos="9241"/>
            </w:tabs>
            <w:rPr>
              <w:rFonts w:cs="宋体"/>
            </w:rPr>
          </w:pPr>
          <w:r>
            <w:fldChar w:fldCharType="begin"/>
          </w:r>
          <w:r>
            <w:instrText xml:space="preserve"> HYPERLINK \l "_Toc7504" </w:instrText>
          </w:r>
          <w:r>
            <w:fldChar w:fldCharType="separate"/>
          </w:r>
          <w:r>
            <w:rPr>
              <w:rFonts w:hint="eastAsia" w:cs="宋体"/>
            </w:rPr>
            <w:t>4 有序充电系统架构和功能要求</w:t>
          </w:r>
          <w:r>
            <w:rPr>
              <w:rFonts w:hint="eastAsia" w:cs="宋体"/>
            </w:rPr>
            <w:tab/>
          </w:r>
          <w:r>
            <w:rPr>
              <w:rFonts w:hint="eastAsia" w:cs="宋体"/>
            </w:rPr>
            <w:fldChar w:fldCharType="begin"/>
          </w:r>
          <w:r>
            <w:rPr>
              <w:rFonts w:hint="eastAsia" w:cs="宋体"/>
            </w:rPr>
            <w:instrText xml:space="preserve"> PAGEREF _Toc7504 \h </w:instrText>
          </w:r>
          <w:r>
            <w:rPr>
              <w:rFonts w:hint="eastAsia" w:cs="宋体"/>
            </w:rPr>
            <w:fldChar w:fldCharType="separate"/>
          </w:r>
          <w:r>
            <w:rPr>
              <w:rFonts w:hint="eastAsia" w:cs="宋体"/>
            </w:rPr>
            <w:t>2</w:t>
          </w:r>
          <w:r>
            <w:rPr>
              <w:rFonts w:hint="eastAsia" w:cs="宋体"/>
            </w:rPr>
            <w:fldChar w:fldCharType="end"/>
          </w:r>
          <w:r>
            <w:rPr>
              <w:rFonts w:hint="eastAsia" w:cs="宋体"/>
            </w:rPr>
            <w:fldChar w:fldCharType="end"/>
          </w:r>
        </w:p>
        <w:p w14:paraId="0FA3842D">
          <w:pPr>
            <w:pStyle w:val="39"/>
            <w:tabs>
              <w:tab w:val="right" w:leader="dot" w:pos="9354"/>
              <w:tab w:val="clear" w:pos="9241"/>
            </w:tabs>
            <w:rPr>
              <w:rFonts w:cs="宋体"/>
            </w:rPr>
          </w:pPr>
          <w:r>
            <w:fldChar w:fldCharType="begin"/>
          </w:r>
          <w:r>
            <w:instrText xml:space="preserve"> HYPERLINK \l "_Toc26714" </w:instrText>
          </w:r>
          <w:r>
            <w:fldChar w:fldCharType="separate"/>
          </w:r>
          <w:r>
            <w:rPr>
              <w:rFonts w:hint="eastAsia" w:cs="宋体"/>
            </w:rPr>
            <w:t>5 有序充电设备技术要求</w:t>
          </w:r>
          <w:r>
            <w:rPr>
              <w:rFonts w:hint="eastAsia" w:cs="宋体"/>
            </w:rPr>
            <w:tab/>
          </w:r>
          <w:r>
            <w:rPr>
              <w:rFonts w:hint="eastAsia" w:cs="宋体"/>
            </w:rPr>
            <w:fldChar w:fldCharType="begin"/>
          </w:r>
          <w:r>
            <w:rPr>
              <w:rFonts w:hint="eastAsia" w:cs="宋体"/>
            </w:rPr>
            <w:instrText xml:space="preserve"> PAGEREF _Toc26714 \h </w:instrText>
          </w:r>
          <w:r>
            <w:rPr>
              <w:rFonts w:hint="eastAsia" w:cs="宋体"/>
            </w:rPr>
            <w:fldChar w:fldCharType="separate"/>
          </w:r>
          <w:r>
            <w:rPr>
              <w:rFonts w:hint="eastAsia" w:cs="宋体"/>
            </w:rPr>
            <w:t>2</w:t>
          </w:r>
          <w:r>
            <w:rPr>
              <w:rFonts w:hint="eastAsia" w:cs="宋体"/>
            </w:rPr>
            <w:fldChar w:fldCharType="end"/>
          </w:r>
          <w:r>
            <w:rPr>
              <w:rFonts w:hint="eastAsia" w:cs="宋体"/>
            </w:rPr>
            <w:fldChar w:fldCharType="end"/>
          </w:r>
        </w:p>
        <w:p w14:paraId="352BAB19">
          <w:pPr>
            <w:pStyle w:val="39"/>
            <w:tabs>
              <w:tab w:val="right" w:leader="dot" w:pos="9354"/>
              <w:tab w:val="clear" w:pos="9241"/>
            </w:tabs>
            <w:rPr>
              <w:rFonts w:cs="宋体"/>
            </w:rPr>
          </w:pPr>
          <w:r>
            <w:fldChar w:fldCharType="begin"/>
          </w:r>
          <w:r>
            <w:instrText xml:space="preserve"> HYPERLINK \l "_Toc4925" </w:instrText>
          </w:r>
          <w:r>
            <w:fldChar w:fldCharType="separate"/>
          </w:r>
          <w:r>
            <w:rPr>
              <w:rFonts w:hint="eastAsia" w:cs="宋体"/>
            </w:rPr>
            <w:t>6 有序充电管理终端技术要求</w:t>
          </w:r>
          <w:r>
            <w:rPr>
              <w:rFonts w:hint="eastAsia" w:cs="宋体"/>
            </w:rPr>
            <w:tab/>
          </w:r>
          <w:r>
            <w:rPr>
              <w:rFonts w:hint="eastAsia" w:cs="宋体"/>
            </w:rPr>
            <w:fldChar w:fldCharType="begin"/>
          </w:r>
          <w:r>
            <w:rPr>
              <w:rFonts w:hint="eastAsia" w:cs="宋体"/>
            </w:rPr>
            <w:instrText xml:space="preserve"> PAGEREF _Toc4925 \h </w:instrText>
          </w:r>
          <w:r>
            <w:rPr>
              <w:rFonts w:hint="eastAsia" w:cs="宋体"/>
            </w:rPr>
            <w:fldChar w:fldCharType="separate"/>
          </w:r>
          <w:r>
            <w:rPr>
              <w:rFonts w:hint="eastAsia" w:cs="宋体"/>
            </w:rPr>
            <w:t>3</w:t>
          </w:r>
          <w:r>
            <w:rPr>
              <w:rFonts w:hint="eastAsia" w:cs="宋体"/>
            </w:rPr>
            <w:fldChar w:fldCharType="end"/>
          </w:r>
          <w:r>
            <w:rPr>
              <w:rFonts w:hint="eastAsia" w:cs="宋体"/>
            </w:rPr>
            <w:fldChar w:fldCharType="end"/>
          </w:r>
        </w:p>
        <w:p w14:paraId="6ADBAAB7">
          <w:pPr>
            <w:pStyle w:val="39"/>
            <w:tabs>
              <w:tab w:val="right" w:leader="dot" w:pos="9354"/>
              <w:tab w:val="clear" w:pos="9241"/>
            </w:tabs>
            <w:rPr>
              <w:rFonts w:cs="宋体"/>
            </w:rPr>
          </w:pPr>
          <w:r>
            <w:fldChar w:fldCharType="begin"/>
          </w:r>
          <w:r>
            <w:instrText xml:space="preserve"> HYPERLINK \l "_Toc8257" </w:instrText>
          </w:r>
          <w:r>
            <w:fldChar w:fldCharType="separate"/>
          </w:r>
          <w:r>
            <w:rPr>
              <w:rFonts w:hint="eastAsia" w:cs="宋体"/>
            </w:rPr>
            <w:t>7 充电运营管理平台技术要求</w:t>
          </w:r>
          <w:r>
            <w:rPr>
              <w:rFonts w:hint="eastAsia" w:cs="宋体"/>
            </w:rPr>
            <w:tab/>
          </w:r>
          <w:r>
            <w:rPr>
              <w:rFonts w:hint="eastAsia" w:cs="宋体"/>
            </w:rPr>
            <w:fldChar w:fldCharType="begin"/>
          </w:r>
          <w:r>
            <w:rPr>
              <w:rFonts w:hint="eastAsia" w:cs="宋体"/>
            </w:rPr>
            <w:instrText xml:space="preserve"> PAGEREF _Toc8257 \h </w:instrText>
          </w:r>
          <w:r>
            <w:rPr>
              <w:rFonts w:hint="eastAsia" w:cs="宋体"/>
            </w:rPr>
            <w:fldChar w:fldCharType="separate"/>
          </w:r>
          <w:r>
            <w:rPr>
              <w:rFonts w:hint="eastAsia" w:cs="宋体"/>
            </w:rPr>
            <w:t>4</w:t>
          </w:r>
          <w:r>
            <w:rPr>
              <w:rFonts w:hint="eastAsia" w:cs="宋体"/>
            </w:rPr>
            <w:fldChar w:fldCharType="end"/>
          </w:r>
          <w:r>
            <w:rPr>
              <w:rFonts w:hint="eastAsia" w:cs="宋体"/>
            </w:rPr>
            <w:fldChar w:fldCharType="end"/>
          </w:r>
        </w:p>
        <w:p w14:paraId="464E0F50">
          <w:pPr>
            <w:pStyle w:val="39"/>
            <w:tabs>
              <w:tab w:val="right" w:leader="dot" w:pos="9354"/>
              <w:tab w:val="clear" w:pos="9241"/>
            </w:tabs>
            <w:rPr>
              <w:rFonts w:cs="宋体"/>
            </w:rPr>
          </w:pPr>
          <w:r>
            <w:fldChar w:fldCharType="begin"/>
          </w:r>
          <w:r>
            <w:instrText xml:space="preserve"> HYPERLINK \l "_Toc31514" </w:instrText>
          </w:r>
          <w:r>
            <w:fldChar w:fldCharType="separate"/>
          </w:r>
          <w:r>
            <w:rPr>
              <w:rFonts w:hint="eastAsia" w:cs="宋体"/>
            </w:rPr>
            <w:t>8 有序充电管理平台技术要求</w:t>
          </w:r>
          <w:r>
            <w:rPr>
              <w:rFonts w:hint="eastAsia" w:cs="宋体"/>
            </w:rPr>
            <w:tab/>
          </w:r>
          <w:r>
            <w:rPr>
              <w:rFonts w:hint="eastAsia" w:cs="宋体"/>
            </w:rPr>
            <w:fldChar w:fldCharType="begin"/>
          </w:r>
          <w:r>
            <w:rPr>
              <w:rFonts w:hint="eastAsia" w:cs="宋体"/>
            </w:rPr>
            <w:instrText xml:space="preserve"> PAGEREF _Toc31514 \h </w:instrText>
          </w:r>
          <w:r>
            <w:rPr>
              <w:rFonts w:hint="eastAsia" w:cs="宋体"/>
            </w:rPr>
            <w:fldChar w:fldCharType="separate"/>
          </w:r>
          <w:r>
            <w:rPr>
              <w:rFonts w:hint="eastAsia" w:cs="宋体"/>
            </w:rPr>
            <w:t>4</w:t>
          </w:r>
          <w:r>
            <w:rPr>
              <w:rFonts w:hint="eastAsia" w:cs="宋体"/>
            </w:rPr>
            <w:fldChar w:fldCharType="end"/>
          </w:r>
          <w:r>
            <w:rPr>
              <w:rFonts w:hint="eastAsia" w:cs="宋体"/>
            </w:rPr>
            <w:fldChar w:fldCharType="end"/>
          </w:r>
        </w:p>
        <w:p w14:paraId="395ECB42">
          <w:pPr>
            <w:pStyle w:val="39"/>
            <w:tabs>
              <w:tab w:val="right" w:leader="dot" w:pos="9354"/>
              <w:tab w:val="clear" w:pos="9241"/>
            </w:tabs>
            <w:rPr>
              <w:rFonts w:cs="宋体"/>
            </w:rPr>
          </w:pPr>
          <w:r>
            <w:fldChar w:fldCharType="begin"/>
          </w:r>
          <w:r>
            <w:instrText xml:space="preserve"> HYPERLINK \l "_Toc9229" </w:instrText>
          </w:r>
          <w:r>
            <w:fldChar w:fldCharType="separate"/>
          </w:r>
          <w:r>
            <w:rPr>
              <w:rFonts w:hint="eastAsia" w:cs="宋体"/>
            </w:rPr>
            <w:t>9 信息安全</w:t>
          </w:r>
          <w:r>
            <w:rPr>
              <w:rFonts w:hint="eastAsia" w:cs="宋体"/>
            </w:rPr>
            <w:tab/>
          </w:r>
          <w:r>
            <w:rPr>
              <w:rFonts w:hint="eastAsia" w:cs="宋体"/>
            </w:rPr>
            <w:fldChar w:fldCharType="begin"/>
          </w:r>
          <w:r>
            <w:rPr>
              <w:rFonts w:hint="eastAsia" w:cs="宋体"/>
            </w:rPr>
            <w:instrText xml:space="preserve"> PAGEREF _Toc9229 \h </w:instrText>
          </w:r>
          <w:r>
            <w:rPr>
              <w:rFonts w:hint="eastAsia" w:cs="宋体"/>
            </w:rPr>
            <w:fldChar w:fldCharType="separate"/>
          </w:r>
          <w:r>
            <w:rPr>
              <w:rFonts w:hint="eastAsia" w:cs="宋体"/>
            </w:rPr>
            <w:t>5</w:t>
          </w:r>
          <w:r>
            <w:rPr>
              <w:rFonts w:hint="eastAsia" w:cs="宋体"/>
            </w:rPr>
            <w:fldChar w:fldCharType="end"/>
          </w:r>
          <w:r>
            <w:rPr>
              <w:rFonts w:hint="eastAsia" w:cs="宋体"/>
            </w:rPr>
            <w:fldChar w:fldCharType="end"/>
          </w:r>
        </w:p>
        <w:p w14:paraId="23C28FAD">
          <w:pPr>
            <w:pStyle w:val="30"/>
            <w:tabs>
              <w:tab w:val="right" w:leader="dot" w:pos="9354"/>
              <w:tab w:val="clear" w:pos="9241"/>
            </w:tabs>
            <w:rPr>
              <w:rFonts w:cs="宋体"/>
            </w:rPr>
          </w:pPr>
          <w:r>
            <w:fldChar w:fldCharType="begin"/>
          </w:r>
          <w:r>
            <w:instrText xml:space="preserve"> HYPERLINK \l "_Toc32556" </w:instrText>
          </w:r>
          <w:r>
            <w:fldChar w:fldCharType="separate"/>
          </w:r>
          <w:r>
            <w:rPr>
              <w:rFonts w:hint="eastAsia" w:cs="宋体"/>
            </w:rPr>
            <w:t>附　录　A  （资料性附录） 有序充电系统架构框图</w:t>
          </w:r>
          <w:r>
            <w:rPr>
              <w:rFonts w:hint="eastAsia" w:cs="宋体"/>
            </w:rPr>
            <w:tab/>
          </w:r>
          <w:r>
            <w:rPr>
              <w:rFonts w:hint="eastAsia" w:cs="宋体"/>
            </w:rPr>
            <w:fldChar w:fldCharType="begin"/>
          </w:r>
          <w:r>
            <w:rPr>
              <w:rFonts w:hint="eastAsia" w:cs="宋体"/>
            </w:rPr>
            <w:instrText xml:space="preserve"> PAGEREF _Toc32556 \h </w:instrText>
          </w:r>
          <w:r>
            <w:rPr>
              <w:rFonts w:hint="eastAsia" w:cs="宋体"/>
            </w:rPr>
            <w:fldChar w:fldCharType="separate"/>
          </w:r>
          <w:r>
            <w:rPr>
              <w:rFonts w:hint="eastAsia" w:cs="宋体"/>
            </w:rPr>
            <w:t>6</w:t>
          </w:r>
          <w:r>
            <w:rPr>
              <w:rFonts w:hint="eastAsia" w:cs="宋体"/>
            </w:rPr>
            <w:fldChar w:fldCharType="end"/>
          </w:r>
          <w:r>
            <w:rPr>
              <w:rFonts w:hint="eastAsia" w:cs="宋体"/>
            </w:rPr>
            <w:fldChar w:fldCharType="end"/>
          </w:r>
        </w:p>
        <w:p w14:paraId="407F8870">
          <w:pPr>
            <w:pStyle w:val="34"/>
            <w:spacing w:before="0" w:beforeLines="0" w:after="156"/>
            <w:ind w:firstLine="0" w:firstLineChars="0"/>
          </w:pPr>
          <w:r>
            <w:rPr>
              <w:rFonts w:hint="eastAsia" w:cs="宋体"/>
              <w:sz w:val="21"/>
              <w:szCs w:val="21"/>
            </w:rPr>
            <w:fldChar w:fldCharType="end"/>
          </w:r>
        </w:p>
      </w:sdtContent>
    </w:sdt>
    <w:p w14:paraId="36327E46">
      <w:pPr>
        <w:pStyle w:val="34"/>
        <w:spacing w:before="0" w:beforeLines="0" w:after="156"/>
        <w:ind w:firstLine="0" w:firstLineChars="0"/>
      </w:pPr>
    </w:p>
    <w:p w14:paraId="3AF094FB">
      <w:pPr>
        <w:pStyle w:val="145"/>
        <w:outlineLvl w:val="1"/>
        <w:rPr>
          <w:color w:val="000000" w:themeColor="text1"/>
          <w14:textFill>
            <w14:solidFill>
              <w14:schemeClr w14:val="tx1"/>
            </w14:solidFill>
          </w14:textFill>
        </w:rPr>
      </w:pPr>
      <w:bookmarkStart w:id="9" w:name="_Toc28348"/>
      <w:bookmarkStart w:id="10" w:name="_Toc18822"/>
      <w:bookmarkStart w:id="11" w:name="_Toc17380"/>
      <w:bookmarkStart w:id="12" w:name="_Toc12749"/>
      <w:bookmarkStart w:id="13" w:name="_Toc30671"/>
      <w:bookmarkStart w:id="14" w:name="_Toc24732"/>
      <w:bookmarkStart w:id="15" w:name="_Toc66654760"/>
      <w:bookmarkStart w:id="16" w:name="_Toc7896"/>
      <w:bookmarkStart w:id="17" w:name="_Toc150890462"/>
      <w:r>
        <w:rPr>
          <w:rFonts w:hint="eastAsia"/>
          <w:color w:val="000000" w:themeColor="text1"/>
          <w14:textFill>
            <w14:solidFill>
              <w14:schemeClr w14:val="tx1"/>
            </w14:solidFill>
          </w14:textFill>
        </w:rPr>
        <w:t>前    言</w:t>
      </w:r>
      <w:bookmarkEnd w:id="9"/>
      <w:bookmarkEnd w:id="10"/>
      <w:bookmarkEnd w:id="11"/>
      <w:bookmarkEnd w:id="12"/>
      <w:bookmarkEnd w:id="13"/>
      <w:bookmarkEnd w:id="14"/>
      <w:bookmarkEnd w:id="15"/>
      <w:bookmarkEnd w:id="16"/>
    </w:p>
    <w:bookmarkEnd w:id="17"/>
    <w:p w14:paraId="63637C80">
      <w:pPr>
        <w:pStyle w:val="34"/>
        <w:spacing w:before="0" w:beforeLines="0" w:after="0" w:afterLines="0"/>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本文件按照GB/T 1.1—2020《标准化工作导则  第1部分：标准化文件的结构和起草规则》的规定起草。</w:t>
      </w:r>
    </w:p>
    <w:p w14:paraId="057F348F">
      <w:pPr>
        <w:pStyle w:val="34"/>
        <w:spacing w:before="0" w:beforeLines="0" w:after="0" w:afterLines="0"/>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请注意本文件的</w:t>
      </w:r>
      <w:bookmarkStart w:id="220" w:name="_GoBack"/>
      <w:bookmarkEnd w:id="220"/>
      <w:r>
        <w:rPr>
          <w:rFonts w:hint="eastAsia" w:asciiTheme="minorEastAsia" w:hAnsiTheme="minorEastAsia" w:eastAsiaTheme="minorEastAsia" w:cstheme="minorEastAsia"/>
          <w:sz w:val="21"/>
          <w:szCs w:val="21"/>
        </w:rPr>
        <w:t>某些内容可能涉及专利。本文件的发布机构不承担识别专利的责任。</w:t>
      </w:r>
    </w:p>
    <w:p w14:paraId="0B702C20">
      <w:pPr>
        <w:pStyle w:val="34"/>
        <w:spacing w:before="0" w:beforeLines="0" w:after="0" w:afterLines="0"/>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本文件由江苏省发展和改革委员会提出并组织实施。</w:t>
      </w:r>
    </w:p>
    <w:p w14:paraId="50361FF6">
      <w:pPr>
        <w:pStyle w:val="34"/>
        <w:spacing w:before="0" w:beforeLines="0" w:after="0" w:afterLines="0"/>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本文件由江苏省电力标准化技术委员会归口。</w:t>
      </w:r>
    </w:p>
    <w:p w14:paraId="0AA989AA">
      <w:pPr>
        <w:pStyle w:val="34"/>
        <w:spacing w:before="0" w:beforeLines="0" w:after="0" w:afterLines="0"/>
        <w:ind w:firstLine="0" w:firstLineChars="0"/>
        <w:rPr>
          <w:rFonts w:asciiTheme="minorEastAsia" w:hAnsiTheme="minorEastAsia" w:eastAsiaTheme="minorEastAsia" w:cstheme="minorEastAsia"/>
          <w:sz w:val="21"/>
          <w:szCs w:val="21"/>
        </w:rPr>
      </w:pPr>
      <w:sdt>
        <w:sdtPr>
          <w:rPr>
            <w:rFonts w:hint="eastAsia" w:asciiTheme="minorEastAsia" w:hAnsiTheme="minorEastAsia" w:eastAsiaTheme="minorEastAsia" w:cstheme="minorEastAsia"/>
            <w:sz w:val="21"/>
            <w:szCs w:val="21"/>
          </w:rPr>
          <w:alias w:val="语法检查"/>
          <w:id w:val="1060156"/>
        </w:sdtPr>
        <w:sdtEndPr>
          <w:rPr>
            <w:rFonts w:hint="eastAsia" w:asciiTheme="minorEastAsia" w:hAnsiTheme="minorEastAsia" w:eastAsiaTheme="minorEastAsia" w:cstheme="minorEastAsia"/>
            <w:sz w:val="21"/>
            <w:szCs w:val="21"/>
          </w:rPr>
        </w:sdtEndPr>
        <w:sdtContent>
          <w:bookmarkStart w:id="18" w:name="bkReivew1060156"/>
          <w:r>
            <w:rPr>
              <w:rFonts w:hint="eastAsia" w:asciiTheme="minorEastAsia" w:hAnsiTheme="minorEastAsia" w:eastAsiaTheme="minorEastAsia" w:cstheme="minorEastAsia"/>
              <w:sz w:val="21"/>
              <w:szCs w:val="21"/>
            </w:rPr>
            <w:t xml:space="preserve">    本</w:t>
          </w:r>
          <w:bookmarkEnd w:id="18"/>
        </w:sdtContent>
      </w:sdt>
      <w:r>
        <w:rPr>
          <w:rFonts w:hint="eastAsia" w:asciiTheme="minorEastAsia" w:hAnsiTheme="minorEastAsia" w:eastAsiaTheme="minorEastAsia" w:cstheme="minorEastAsia"/>
          <w:sz w:val="21"/>
          <w:szCs w:val="21"/>
        </w:rPr>
        <w:t>文件起草单位：国网江苏省电力有限公司营销服务中心、国网江苏省电力有限公司、国网电力科学研究院有限公司、国电南瑞科技股份有限公司、</w:t>
      </w:r>
      <w:r>
        <w:rPr>
          <w:rFonts w:asciiTheme="minorEastAsia" w:hAnsiTheme="minorEastAsia" w:eastAsiaTheme="minorEastAsia" w:cstheme="minorEastAsia"/>
          <w:sz w:val="21"/>
          <w:szCs w:val="21"/>
        </w:rPr>
        <w:t>苏州市产品质量检验院有限公司</w:t>
      </w:r>
      <w:r>
        <w:rPr>
          <w:rFonts w:hint="eastAsia" w:asciiTheme="minorEastAsia" w:hAnsiTheme="minorEastAsia" w:eastAsiaTheme="minorEastAsia" w:cstheme="minorEastAsia"/>
          <w:color w:val="000000"/>
          <w:sz w:val="21"/>
          <w:szCs w:val="21"/>
          <w:shd w:val="clear" w:color="auto" w:fill="FFFFFF"/>
        </w:rPr>
        <w:t>、</w:t>
      </w:r>
      <w:r>
        <w:rPr>
          <w:rFonts w:hint="eastAsia" w:asciiTheme="minorEastAsia" w:hAnsiTheme="minorEastAsia" w:eastAsiaTheme="minorEastAsia" w:cstheme="minorEastAsia"/>
          <w:sz w:val="21"/>
          <w:szCs w:val="21"/>
        </w:rPr>
        <w:t>国网江苏省电力有限公司电力科学研究院、国网江苏电动汽车服务有限公司、万帮数字能源股份有限公司。</w:t>
      </w:r>
    </w:p>
    <w:p w14:paraId="5DB60D1F">
      <w:pPr>
        <w:pStyle w:val="34"/>
        <w:spacing w:before="0" w:beforeLines="0" w:after="0" w:afterLines="0"/>
        <w:ind w:firstLine="420"/>
        <w:rPr>
          <w:rFonts w:asciiTheme="minorEastAsia" w:hAnsiTheme="minorEastAsia" w:eastAsiaTheme="minorEastAsia" w:cstheme="minorEastAsia"/>
          <w:sz w:val="21"/>
          <w:szCs w:val="21"/>
        </w:rPr>
        <w:sectPr>
          <w:headerReference r:id="rId5" w:type="default"/>
          <w:footerReference r:id="rId6" w:type="default"/>
          <w:pgSz w:w="11906" w:h="16838"/>
          <w:pgMar w:top="567" w:right="1134" w:bottom="1134" w:left="1418" w:header="567" w:footer="567" w:gutter="0"/>
          <w:pgNumType w:fmt="upperRoman" w:start="1"/>
          <w:cols w:space="720" w:num="1"/>
          <w:formProt w:val="0"/>
          <w:docGrid w:type="lines" w:linePitch="312" w:charSpace="0"/>
        </w:sectPr>
      </w:pPr>
      <w:r>
        <w:rPr>
          <w:rFonts w:hint="eastAsia" w:asciiTheme="minorEastAsia" w:hAnsiTheme="minorEastAsia" w:eastAsiaTheme="minorEastAsia" w:cstheme="minorEastAsia"/>
          <w:sz w:val="21"/>
          <w:szCs w:val="21"/>
        </w:rPr>
        <w:t>本文件主要起草人：程含渺、段梅梅、阮文骏、焦系泽、王忠东、周承翰、方凯杰、鲍进、桑林、陈良亮、陈家凯、陆文韬、李旭玲、窦胜、魏兵兵、王明深、严鹏、王峥、杨志。</w:t>
      </w:r>
    </w:p>
    <w:p w14:paraId="18C59B89">
      <w:pPr>
        <w:pStyle w:val="143"/>
        <w:framePr w:w="0" w:hRule="auto" w:wrap="auto" w:vAnchor="margin" w:hAnchor="text" w:xAlign="left" w:yAlign="inline"/>
        <w:rPr>
          <w:color w:val="000000"/>
          <w:sz w:val="32"/>
          <w:szCs w:val="32"/>
        </w:rPr>
      </w:pPr>
      <w:r>
        <w:rPr>
          <w:rFonts w:hint="eastAsia"/>
          <w:color w:val="000000"/>
          <w:sz w:val="32"/>
          <w:szCs w:val="32"/>
        </w:rPr>
        <w:t>低压台区电动汽车有序充电系统技术规范</w:t>
      </w:r>
    </w:p>
    <w:p w14:paraId="506D8DDB">
      <w:pPr>
        <w:pStyle w:val="76"/>
        <w:spacing w:before="240" w:after="240"/>
        <w:rPr>
          <w:color w:val="000000"/>
        </w:rPr>
      </w:pPr>
      <w:bookmarkStart w:id="19" w:name="_Toc484098154"/>
      <w:bookmarkStart w:id="20" w:name="_Toc21525226"/>
      <w:bookmarkStart w:id="21" w:name="_Toc31891"/>
      <w:bookmarkStart w:id="22" w:name="_Toc484100727"/>
      <w:bookmarkStart w:id="23" w:name="_Toc484186137"/>
      <w:bookmarkStart w:id="24" w:name="_Toc112366221"/>
      <w:bookmarkStart w:id="25" w:name="_Toc3391"/>
      <w:bookmarkStart w:id="26" w:name="_Toc501548171"/>
      <w:bookmarkStart w:id="27" w:name="_Toc484098605"/>
      <w:bookmarkStart w:id="28" w:name="_Toc490032041"/>
      <w:bookmarkStart w:id="29" w:name="_Toc15108"/>
      <w:bookmarkStart w:id="30" w:name="_Toc503011812"/>
      <w:bookmarkStart w:id="31" w:name="_Toc413402166"/>
      <w:bookmarkStart w:id="32" w:name="_Toc18685"/>
      <w:bookmarkStart w:id="33" w:name="_Toc484286683"/>
      <w:bookmarkStart w:id="34" w:name="_Toc497146435"/>
      <w:bookmarkStart w:id="35" w:name="_Toc7639"/>
      <w:bookmarkStart w:id="36" w:name="_Toc19804156"/>
      <w:bookmarkStart w:id="37" w:name="_Toc485631652"/>
      <w:bookmarkStart w:id="38" w:name="_Toc496190020"/>
      <w:bookmarkStart w:id="39" w:name="_Toc490032102"/>
      <w:bookmarkStart w:id="40" w:name="_Toc25559"/>
      <w:bookmarkStart w:id="41" w:name="_Toc525769141"/>
      <w:bookmarkStart w:id="42" w:name="_Toc150890463"/>
      <w:bookmarkStart w:id="43" w:name="_Toc25846"/>
      <w:r>
        <w:rPr>
          <w:rFonts w:hint="eastAsia"/>
          <w:color w:val="000000"/>
        </w:rPr>
        <w:t>范围</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95EC286">
      <w:pPr>
        <w:pStyle w:val="34"/>
        <w:spacing w:before="0" w:beforeLines="0" w:after="0" w:afterLines="0"/>
        <w:ind w:firstLine="420"/>
        <w:rPr>
          <w:sz w:val="21"/>
          <w:szCs w:val="21"/>
        </w:rPr>
      </w:pPr>
      <w:bookmarkStart w:id="44" w:name="_Toc484186138"/>
      <w:bookmarkStart w:id="45" w:name="_Toc490032042"/>
      <w:bookmarkStart w:id="46" w:name="_Toc484098606"/>
      <w:bookmarkStart w:id="47" w:name="_Toc490032103"/>
      <w:bookmarkStart w:id="48" w:name="_Toc484286684"/>
      <w:bookmarkStart w:id="49" w:name="_Toc503011813"/>
      <w:bookmarkStart w:id="50" w:name="_Toc525769142"/>
      <w:bookmarkStart w:id="51" w:name="_Toc501548172"/>
      <w:bookmarkStart w:id="52" w:name="_Toc496190021"/>
      <w:bookmarkStart w:id="53" w:name="_Toc19804157"/>
      <w:bookmarkStart w:id="54" w:name="_Toc940605917"/>
      <w:bookmarkStart w:id="55" w:name="_Toc112366222"/>
      <w:bookmarkStart w:id="56" w:name="_Toc150890464"/>
      <w:bookmarkStart w:id="57" w:name="_Toc484100728"/>
      <w:bookmarkStart w:id="58" w:name="_Toc484098155"/>
      <w:bookmarkStart w:id="59" w:name="_Toc485631653"/>
      <w:bookmarkStart w:id="60" w:name="_Toc21525227"/>
      <w:bookmarkStart w:id="61" w:name="_Toc497146436"/>
      <w:r>
        <w:rPr>
          <w:rFonts w:hint="eastAsia"/>
          <w:sz w:val="21"/>
          <w:szCs w:val="21"/>
        </w:rPr>
        <w:t>本文件规定了低压台区电动汽车有序充电的系统架构和功能要求、有序充电设备、有序充电管理终端、充电运营管理平台、有序充电管理平台和信息安全的技术要求</w:t>
      </w:r>
      <w:r>
        <w:rPr>
          <w:sz w:val="21"/>
          <w:szCs w:val="21"/>
        </w:rPr>
        <w:t>。</w:t>
      </w:r>
    </w:p>
    <w:p w14:paraId="2F2D9B01">
      <w:pPr>
        <w:pStyle w:val="34"/>
        <w:spacing w:before="0" w:beforeLines="0" w:after="0" w:afterLines="0"/>
        <w:ind w:firstLine="420"/>
        <w:rPr>
          <w:sz w:val="21"/>
          <w:szCs w:val="21"/>
        </w:rPr>
      </w:pPr>
      <w:r>
        <w:rPr>
          <w:sz w:val="21"/>
          <w:szCs w:val="21"/>
        </w:rPr>
        <w:t>本文件适用</w:t>
      </w:r>
      <w:r>
        <w:rPr>
          <w:rFonts w:hint="eastAsia"/>
          <w:sz w:val="21"/>
          <w:szCs w:val="21"/>
        </w:rPr>
        <w:t>于220V</w:t>
      </w:r>
      <w:r>
        <w:rPr>
          <w:sz w:val="21"/>
          <w:szCs w:val="21"/>
        </w:rPr>
        <w:t>/</w:t>
      </w:r>
      <w:r>
        <w:rPr>
          <w:rFonts w:hint="eastAsia"/>
          <w:sz w:val="21"/>
          <w:szCs w:val="21"/>
        </w:rPr>
        <w:t>380V电压等级的电动汽车有序充电系统的设计、建设等。</w:t>
      </w:r>
    </w:p>
    <w:p w14:paraId="30CF6021">
      <w:pPr>
        <w:pStyle w:val="76"/>
        <w:spacing w:before="240" w:after="240"/>
        <w:rPr>
          <w:color w:val="000000"/>
        </w:rPr>
      </w:pPr>
      <w:bookmarkStart w:id="62" w:name="_Toc11895"/>
      <w:bookmarkStart w:id="63" w:name="_Toc26589"/>
      <w:bookmarkStart w:id="64" w:name="_Toc32187"/>
      <w:bookmarkStart w:id="65" w:name="_Toc21811"/>
      <w:bookmarkStart w:id="66" w:name="_Toc10842"/>
      <w:bookmarkStart w:id="67" w:name="_Toc5137"/>
      <w:bookmarkStart w:id="68" w:name="_Toc28772"/>
      <w:r>
        <w:rPr>
          <w:rFonts w:hint="eastAsia"/>
          <w:color w:val="000000"/>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5F48313">
      <w:pPr>
        <w:pStyle w:val="34"/>
        <w:spacing w:before="0" w:beforeLines="0" w:after="0" w:afterLines="0"/>
        <w:ind w:firstLine="420"/>
        <w:rPr>
          <w:sz w:val="21"/>
          <w:szCs w:val="21"/>
        </w:rPr>
      </w:pPr>
      <w:bookmarkStart w:id="69" w:name="_Toc484098607"/>
      <w:bookmarkStart w:id="70" w:name="_Toc484100729"/>
      <w:bookmarkStart w:id="71" w:name="_Toc21525228"/>
      <w:bookmarkStart w:id="72" w:name="_Toc490032104"/>
      <w:bookmarkStart w:id="73" w:name="_Toc525769143"/>
      <w:bookmarkStart w:id="74" w:name="_Toc484098156"/>
      <w:bookmarkStart w:id="75" w:name="_Toc485631654"/>
      <w:bookmarkStart w:id="76" w:name="_Toc484186139"/>
      <w:bookmarkStart w:id="77" w:name="_Toc112366223"/>
      <w:bookmarkStart w:id="78" w:name="_Toc497146437"/>
      <w:bookmarkStart w:id="79" w:name="_Toc503011814"/>
      <w:bookmarkStart w:id="80" w:name="_Toc501548173"/>
      <w:bookmarkStart w:id="81" w:name="_Toc490032043"/>
      <w:bookmarkStart w:id="82" w:name="_Toc150890465"/>
      <w:bookmarkStart w:id="83" w:name="_Toc496190022"/>
      <w:bookmarkStart w:id="84" w:name="_Toc19804158"/>
      <w:bookmarkStart w:id="85" w:name="_Toc1136521452"/>
      <w:bookmarkStart w:id="86" w:name="_Toc484286685"/>
      <w:r>
        <w:rPr>
          <w:sz w:val="21"/>
          <w:szCs w:val="21"/>
        </w:rPr>
        <w:t>下列文件中的内容通过文中的规范性引用而构成本文件必不可少的条款。其中，</w:t>
      </w:r>
      <w:sdt>
        <w:sdtPr>
          <w:rPr>
            <w:sz w:val="21"/>
            <w:szCs w:val="21"/>
          </w:rPr>
          <w:alias w:val="语法检查"/>
          <w:id w:val="2101006"/>
        </w:sdtPr>
        <w:sdtEndPr>
          <w:rPr>
            <w:sz w:val="21"/>
            <w:szCs w:val="21"/>
          </w:rPr>
        </w:sdtEndPr>
        <w:sdtContent>
          <w:bookmarkStart w:id="87" w:name="bkReivew2101006"/>
          <w:r>
            <w:rPr>
              <w:rFonts w:hint="eastAsia"/>
              <w:sz w:val="21"/>
              <w:szCs w:val="21"/>
            </w:rPr>
            <w:t>注</w:t>
          </w:r>
          <w:bookmarkEnd w:id="87"/>
        </w:sdtContent>
      </w:sdt>
      <w:r>
        <w:rPr>
          <w:rFonts w:hint="eastAsia"/>
          <w:sz w:val="21"/>
          <w:szCs w:val="21"/>
        </w:rPr>
        <w:t>日期的引用文件，仅该日期对应的版本适用于本文件；不</w:t>
      </w:r>
      <w:sdt>
        <w:sdtPr>
          <w:rPr>
            <w:sz w:val="21"/>
            <w:szCs w:val="21"/>
          </w:rPr>
          <w:alias w:val="语法检查"/>
          <w:id w:val="1040010"/>
        </w:sdtPr>
        <w:sdtEndPr>
          <w:rPr>
            <w:sz w:val="21"/>
            <w:szCs w:val="21"/>
          </w:rPr>
        </w:sdtEndPr>
        <w:sdtContent>
          <w:bookmarkStart w:id="88" w:name="bkReivew1040010"/>
          <w:r>
            <w:rPr>
              <w:rFonts w:hint="eastAsia"/>
              <w:sz w:val="21"/>
              <w:szCs w:val="21"/>
            </w:rPr>
            <w:t>注</w:t>
          </w:r>
          <w:bookmarkEnd w:id="88"/>
        </w:sdtContent>
      </w:sdt>
      <w:r>
        <w:rPr>
          <w:rFonts w:hint="eastAsia"/>
          <w:sz w:val="21"/>
          <w:szCs w:val="21"/>
        </w:rPr>
        <w:t>日期的引用文件，其最新版本（包括所有的</w:t>
      </w:r>
      <w:r>
        <w:rPr>
          <w:rFonts w:hint="eastAsia"/>
          <w:sz w:val="21"/>
          <w:szCs w:val="21"/>
          <w:lang w:val="en-US" w:eastAsia="zh-CN"/>
        </w:rPr>
        <w:t>修改</w:t>
      </w:r>
      <w:r>
        <w:rPr>
          <w:sz w:val="21"/>
          <w:szCs w:val="21"/>
        </w:rPr>
        <w:t>单）适用于本文件。</w:t>
      </w:r>
    </w:p>
    <w:p w14:paraId="3E58677F">
      <w:pPr>
        <w:pStyle w:val="291"/>
        <w:ind w:firstLine="420"/>
      </w:pPr>
      <w:r>
        <w:rPr>
          <w:rFonts w:hint="eastAsia"/>
        </w:rPr>
        <w:t>GB/T 18487.1-2023 电动汽车传导充电系统第1部分：通用要求</w:t>
      </w:r>
    </w:p>
    <w:p w14:paraId="3BE1AABE">
      <w:pPr>
        <w:pStyle w:val="291"/>
        <w:ind w:firstLine="420"/>
      </w:pPr>
      <w:r>
        <w:rPr>
          <w:rFonts w:hint="eastAsia"/>
        </w:rPr>
        <w:t>GB/T 27930 电动汽车非车载传动式充电机与电池管理系统之间的通信协议</w:t>
      </w:r>
    </w:p>
    <w:p w14:paraId="550CC037">
      <w:pPr>
        <w:pStyle w:val="291"/>
        <w:ind w:firstLine="420"/>
        <w:rPr>
          <w:rFonts w:cs="黑体"/>
          <w:szCs w:val="21"/>
        </w:rPr>
      </w:pPr>
      <w:r>
        <w:rPr>
          <w:rFonts w:hint="eastAsia" w:cs="黑体"/>
          <w:szCs w:val="21"/>
        </w:rPr>
        <w:t>NB/T 11305.2-2023 电动汽车充放电双向互动 第2部分：有序充电</w:t>
      </w:r>
    </w:p>
    <w:p w14:paraId="60CDDAF7">
      <w:pPr>
        <w:pStyle w:val="291"/>
        <w:ind w:firstLine="420"/>
        <w:rPr>
          <w:rFonts w:cs="黑体"/>
          <w:szCs w:val="21"/>
        </w:rPr>
      </w:pPr>
      <w:r>
        <w:rPr>
          <w:rFonts w:hint="eastAsia" w:cs="黑体"/>
          <w:szCs w:val="21"/>
        </w:rPr>
        <w:t>NB/T 33001 电动汽车非车载传导式充电机技术条件</w:t>
      </w:r>
    </w:p>
    <w:p w14:paraId="2C7F64FF">
      <w:pPr>
        <w:pStyle w:val="76"/>
        <w:spacing w:before="240" w:after="240"/>
        <w:rPr>
          <w:color w:val="000000"/>
        </w:rPr>
      </w:pPr>
      <w:bookmarkStart w:id="89" w:name="_Toc1234"/>
      <w:bookmarkStart w:id="90" w:name="_Toc5618"/>
      <w:bookmarkStart w:id="91" w:name="_Toc7352"/>
      <w:bookmarkStart w:id="92" w:name="_Toc15310"/>
      <w:bookmarkStart w:id="93" w:name="_Toc7444"/>
      <w:bookmarkStart w:id="94" w:name="_Toc4608"/>
      <w:bookmarkStart w:id="95" w:name="_Toc21493"/>
      <w:r>
        <w:rPr>
          <w:rFonts w:hint="eastAsia"/>
          <w:color w:val="000000"/>
        </w:rPr>
        <w:t>术语和定义</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9"/>
      <w:bookmarkEnd w:id="90"/>
      <w:bookmarkEnd w:id="91"/>
      <w:bookmarkEnd w:id="92"/>
      <w:bookmarkEnd w:id="93"/>
      <w:bookmarkEnd w:id="94"/>
      <w:bookmarkEnd w:id="95"/>
    </w:p>
    <w:p w14:paraId="0BEF5549">
      <w:pPr>
        <w:pStyle w:val="34"/>
        <w:spacing w:before="0" w:beforeLines="0" w:after="0" w:afterLines="0"/>
        <w:ind w:firstLine="420"/>
        <w:rPr>
          <w:rFonts w:cs="宋体"/>
          <w:sz w:val="21"/>
          <w:szCs w:val="21"/>
        </w:rPr>
      </w:pPr>
      <w:bookmarkStart w:id="96" w:name="_Toc150890466"/>
      <w:r>
        <w:rPr>
          <w:rFonts w:cs="黑体"/>
          <w:sz w:val="21"/>
          <w:szCs w:val="21"/>
        </w:rPr>
        <w:t>GB/T 18487.1</w:t>
      </w:r>
      <w:r>
        <w:rPr>
          <w:rFonts w:hint="eastAsia" w:cs="宋体"/>
          <w:sz w:val="21"/>
          <w:szCs w:val="21"/>
        </w:rPr>
        <w:t>界定的以及下列术语和定义适用于本文件。</w:t>
      </w:r>
      <w:bookmarkStart w:id="97" w:name="_Toc112366225"/>
    </w:p>
    <w:p w14:paraId="1902CC59">
      <w:pPr>
        <w:pStyle w:val="98"/>
        <w:numPr>
          <w:ilvl w:val="0"/>
          <w:numId w:val="0"/>
        </w:numPr>
        <w:spacing w:before="120" w:after="120"/>
      </w:pPr>
      <w:bookmarkStart w:id="98" w:name="_Toc24017"/>
      <w:bookmarkStart w:id="99" w:name="_Toc2628"/>
      <w:bookmarkStart w:id="100" w:name="_Toc20095"/>
      <w:bookmarkStart w:id="101" w:name="_Toc21819"/>
      <w:bookmarkStart w:id="102" w:name="_Toc24562"/>
      <w:bookmarkStart w:id="103" w:name="_Toc21751"/>
      <w:bookmarkStart w:id="104" w:name="_Toc163054950"/>
      <w:r>
        <w:t>3</w:t>
      </w:r>
      <w:r>
        <w:rPr>
          <w:rFonts w:hint="eastAsia"/>
        </w:rPr>
        <w:t>.1</w:t>
      </w:r>
      <w:bookmarkEnd w:id="98"/>
      <w:bookmarkEnd w:id="99"/>
      <w:bookmarkEnd w:id="100"/>
      <w:bookmarkEnd w:id="101"/>
      <w:bookmarkEnd w:id="102"/>
      <w:bookmarkEnd w:id="103"/>
      <w:bookmarkEnd w:id="104"/>
    </w:p>
    <w:p w14:paraId="5E605F11">
      <w:pPr>
        <w:pStyle w:val="98"/>
        <w:numPr>
          <w:ilvl w:val="0"/>
          <w:numId w:val="0"/>
        </w:numPr>
        <w:spacing w:before="120" w:after="120"/>
        <w:ind w:firstLine="420" w:firstLineChars="200"/>
        <w:rPr>
          <w:rFonts w:hAnsi="黑体"/>
        </w:rPr>
      </w:pPr>
      <w:bookmarkStart w:id="105" w:name="_Toc11348"/>
      <w:r>
        <w:rPr>
          <w:rFonts w:hAnsi="黑体"/>
        </w:rPr>
        <w:t>低压台区 low</w:t>
      </w:r>
      <w:r>
        <w:rPr>
          <w:rFonts w:hint="eastAsia" w:hAnsi="黑体"/>
        </w:rPr>
        <w:t>-</w:t>
      </w:r>
      <w:r>
        <w:rPr>
          <w:rFonts w:hAnsi="黑体"/>
        </w:rPr>
        <w:t>voltage</w:t>
      </w:r>
      <w:r>
        <w:rPr>
          <w:rFonts w:hint="eastAsia" w:hAnsi="黑体"/>
        </w:rPr>
        <w:t xml:space="preserve"> </w:t>
      </w:r>
      <w:r>
        <w:rPr>
          <w:rFonts w:hAnsi="黑体"/>
        </w:rPr>
        <w:t>transformer district</w:t>
      </w:r>
      <w:bookmarkEnd w:id="105"/>
      <w:r>
        <w:rPr>
          <w:rFonts w:hAnsi="黑体"/>
        </w:rPr>
        <w:t xml:space="preserve"> </w:t>
      </w:r>
    </w:p>
    <w:p w14:paraId="335377A4">
      <w:pPr>
        <w:pStyle w:val="34"/>
        <w:spacing w:before="0" w:beforeLines="0" w:after="0" w:afterLines="0"/>
        <w:ind w:firstLine="420"/>
        <w:rPr>
          <w:rFonts w:cs="黑体"/>
          <w:sz w:val="21"/>
          <w:szCs w:val="21"/>
        </w:rPr>
      </w:pPr>
      <w:r>
        <w:rPr>
          <w:rFonts w:cs="黑体"/>
          <w:sz w:val="21"/>
          <w:szCs w:val="21"/>
        </w:rPr>
        <w:t>(一台)</w:t>
      </w:r>
      <w:r>
        <w:rPr>
          <w:rFonts w:hint="eastAsia" w:cs="黑体"/>
          <w:sz w:val="21"/>
          <w:szCs w:val="21"/>
        </w:rPr>
        <w:t>输出电压为220V/380V的</w:t>
      </w:r>
      <w:r>
        <w:rPr>
          <w:rFonts w:cs="黑体"/>
          <w:sz w:val="21"/>
          <w:szCs w:val="21"/>
        </w:rPr>
        <w:t>配电变压器</w:t>
      </w:r>
      <w:r>
        <w:rPr>
          <w:rFonts w:hint="eastAsia" w:cs="黑体"/>
          <w:sz w:val="21"/>
          <w:szCs w:val="21"/>
        </w:rPr>
        <w:t>的</w:t>
      </w:r>
      <w:r>
        <w:rPr>
          <w:rFonts w:cs="黑体"/>
          <w:sz w:val="21"/>
          <w:szCs w:val="21"/>
        </w:rPr>
        <w:t>供电</w:t>
      </w:r>
      <w:r>
        <w:rPr>
          <w:rFonts w:hint="eastAsia" w:cs="黑体"/>
          <w:sz w:val="21"/>
          <w:szCs w:val="21"/>
        </w:rPr>
        <w:t>范围或</w:t>
      </w:r>
      <w:r>
        <w:rPr>
          <w:rFonts w:cs="黑体"/>
          <w:sz w:val="21"/>
          <w:szCs w:val="21"/>
        </w:rPr>
        <w:t>区域。</w:t>
      </w:r>
    </w:p>
    <w:p w14:paraId="49D46B99">
      <w:pPr>
        <w:pStyle w:val="98"/>
        <w:numPr>
          <w:ilvl w:val="0"/>
          <w:numId w:val="0"/>
        </w:numPr>
        <w:spacing w:before="120" w:after="120"/>
      </w:pPr>
      <w:bookmarkStart w:id="106" w:name="_Toc163054951"/>
      <w:bookmarkStart w:id="107" w:name="_Toc8977"/>
      <w:bookmarkStart w:id="108" w:name="_Toc1231"/>
      <w:bookmarkStart w:id="109" w:name="_Toc26459"/>
      <w:bookmarkStart w:id="110" w:name="_Toc9383"/>
      <w:bookmarkStart w:id="111" w:name="_Toc28855"/>
      <w:bookmarkStart w:id="112" w:name="_Toc3365"/>
      <w:r>
        <w:t>3</w:t>
      </w:r>
      <w:r>
        <w:rPr>
          <w:rFonts w:hint="eastAsia"/>
        </w:rPr>
        <w:t>.2</w:t>
      </w:r>
      <w:bookmarkEnd w:id="106"/>
      <w:bookmarkEnd w:id="107"/>
      <w:bookmarkEnd w:id="108"/>
      <w:bookmarkEnd w:id="109"/>
      <w:bookmarkEnd w:id="110"/>
      <w:bookmarkEnd w:id="111"/>
      <w:bookmarkEnd w:id="112"/>
    </w:p>
    <w:p w14:paraId="6A4D1AB1">
      <w:pPr>
        <w:pStyle w:val="98"/>
        <w:numPr>
          <w:ilvl w:val="0"/>
          <w:numId w:val="0"/>
        </w:numPr>
        <w:spacing w:before="120" w:after="120"/>
        <w:ind w:firstLine="420" w:firstLineChars="200"/>
        <w:rPr>
          <w:rFonts w:hAnsi="黑体"/>
        </w:rPr>
      </w:pPr>
      <w:bookmarkStart w:id="113" w:name="_Toc16917"/>
      <w:r>
        <w:rPr>
          <w:rFonts w:hAnsi="黑体"/>
        </w:rPr>
        <w:t>有序充电 coordinated charging</w:t>
      </w:r>
      <w:bookmarkEnd w:id="113"/>
    </w:p>
    <w:p w14:paraId="0E595A37">
      <w:pPr>
        <w:pStyle w:val="34"/>
        <w:spacing w:before="0" w:beforeLines="0" w:after="0" w:afterLines="0"/>
        <w:ind w:firstLine="420"/>
        <w:rPr>
          <w:rFonts w:cs="黑体"/>
          <w:sz w:val="21"/>
          <w:szCs w:val="21"/>
        </w:rPr>
      </w:pPr>
      <w:r>
        <w:rPr>
          <w:rFonts w:hint="eastAsia" w:cs="黑体"/>
          <w:sz w:val="21"/>
          <w:szCs w:val="21"/>
        </w:rPr>
        <w:t>在经济引导措施下，通过运用技术手段进行协调,按一定的策略对接入低压台区配电变压器的电动汽车的充电时间和充电功率进行调控。</w:t>
      </w:r>
    </w:p>
    <w:p w14:paraId="033498A7">
      <w:pPr>
        <w:pStyle w:val="34"/>
        <w:spacing w:before="0" w:beforeLines="0" w:after="0" w:afterLines="0"/>
        <w:ind w:firstLine="420"/>
        <w:rPr>
          <w:rFonts w:cs="黑体"/>
          <w:sz w:val="21"/>
          <w:szCs w:val="21"/>
        </w:rPr>
      </w:pPr>
      <w:r>
        <w:rPr>
          <w:rFonts w:cs="黑体"/>
          <w:sz w:val="21"/>
          <w:szCs w:val="21"/>
        </w:rPr>
        <w:t>[</w:t>
      </w:r>
      <w:r>
        <w:rPr>
          <w:rFonts w:hint="eastAsia" w:cs="黑体"/>
          <w:sz w:val="21"/>
          <w:szCs w:val="21"/>
        </w:rPr>
        <w:t>来源：NB/T 11305.2—2023</w:t>
      </w:r>
      <w:r>
        <w:rPr>
          <w:rFonts w:cs="黑体"/>
          <w:sz w:val="21"/>
          <w:szCs w:val="21"/>
        </w:rPr>
        <w:t>，3.</w:t>
      </w:r>
      <w:r>
        <w:rPr>
          <w:rFonts w:hint="eastAsia" w:cs="黑体"/>
          <w:sz w:val="21"/>
          <w:szCs w:val="21"/>
        </w:rPr>
        <w:t>1，有修改</w:t>
      </w:r>
      <w:r>
        <w:rPr>
          <w:rFonts w:cs="黑体"/>
          <w:sz w:val="21"/>
          <w:szCs w:val="21"/>
        </w:rPr>
        <w:t>]</w:t>
      </w:r>
    </w:p>
    <w:p w14:paraId="1E9095FC">
      <w:pPr>
        <w:pStyle w:val="98"/>
        <w:numPr>
          <w:ilvl w:val="0"/>
          <w:numId w:val="0"/>
        </w:numPr>
        <w:spacing w:before="120" w:after="120"/>
      </w:pPr>
      <w:bookmarkStart w:id="114" w:name="_Toc13347"/>
      <w:bookmarkStart w:id="115" w:name="_Toc37"/>
      <w:bookmarkStart w:id="116" w:name="_Toc6070"/>
      <w:r>
        <w:t>3</w:t>
      </w:r>
      <w:r>
        <w:rPr>
          <w:rFonts w:hint="eastAsia"/>
        </w:rPr>
        <w:t>.3</w:t>
      </w:r>
      <w:bookmarkEnd w:id="114"/>
      <w:bookmarkEnd w:id="115"/>
      <w:bookmarkEnd w:id="116"/>
    </w:p>
    <w:p w14:paraId="577D9286">
      <w:pPr>
        <w:pStyle w:val="98"/>
        <w:numPr>
          <w:ilvl w:val="0"/>
          <w:numId w:val="0"/>
        </w:numPr>
        <w:spacing w:before="120" w:after="120"/>
        <w:ind w:firstLine="420" w:firstLineChars="200"/>
        <w:rPr>
          <w:rFonts w:hAnsi="黑体"/>
        </w:rPr>
      </w:pPr>
      <w:bookmarkStart w:id="117" w:name="_Toc17964"/>
      <w:r>
        <w:rPr>
          <w:rFonts w:hint="eastAsia" w:hAnsi="黑体"/>
        </w:rPr>
        <w:t>有序充电设备</w:t>
      </w:r>
      <w:r>
        <w:rPr>
          <w:rFonts w:hAnsi="黑体"/>
        </w:rPr>
        <w:t xml:space="preserve"> </w:t>
      </w:r>
      <w:r>
        <w:rPr>
          <w:rFonts w:hint="eastAsia" w:hAnsi="黑体"/>
        </w:rPr>
        <w:t>coordinated charging equipment</w:t>
      </w:r>
      <w:bookmarkEnd w:id="117"/>
    </w:p>
    <w:p w14:paraId="0985045D">
      <w:pPr>
        <w:pStyle w:val="34"/>
        <w:spacing w:before="0" w:beforeLines="0" w:after="0" w:afterLines="0"/>
        <w:ind w:firstLine="420"/>
        <w:rPr>
          <w:sz w:val="21"/>
          <w:szCs w:val="21"/>
        </w:rPr>
      </w:pPr>
      <w:r>
        <w:rPr>
          <w:rFonts w:hint="eastAsia"/>
          <w:sz w:val="21"/>
          <w:szCs w:val="21"/>
        </w:rPr>
        <w:t>具备有序充电控制策略执行功能的充电设备，如交流充电桩、非车载传导式充电机等</w:t>
      </w:r>
      <w:r>
        <w:rPr>
          <w:sz w:val="21"/>
          <w:szCs w:val="21"/>
        </w:rPr>
        <w:t>。</w:t>
      </w:r>
    </w:p>
    <w:p w14:paraId="59BAB802">
      <w:pPr>
        <w:pStyle w:val="34"/>
        <w:spacing w:before="0" w:beforeLines="0" w:after="0" w:afterLines="0"/>
        <w:ind w:firstLine="420"/>
        <w:rPr>
          <w:rFonts w:cs="黑体"/>
          <w:sz w:val="21"/>
          <w:szCs w:val="21"/>
        </w:rPr>
      </w:pPr>
      <w:r>
        <w:rPr>
          <w:rFonts w:cs="宋体"/>
          <w:sz w:val="21"/>
          <w:szCs w:val="21"/>
        </w:rPr>
        <w:t>[</w:t>
      </w:r>
      <w:r>
        <w:rPr>
          <w:rFonts w:hint="eastAsia" w:cs="宋体"/>
          <w:sz w:val="21"/>
          <w:szCs w:val="21"/>
        </w:rPr>
        <w:t>来源：</w:t>
      </w:r>
      <w:r>
        <w:rPr>
          <w:rFonts w:hint="eastAsia" w:cs="黑体"/>
          <w:sz w:val="21"/>
          <w:szCs w:val="21"/>
        </w:rPr>
        <w:t>NB/T 11305.2—2023</w:t>
      </w:r>
      <w:r>
        <w:rPr>
          <w:rFonts w:cs="黑体"/>
          <w:sz w:val="21"/>
          <w:szCs w:val="21"/>
        </w:rPr>
        <w:t>，3.</w:t>
      </w:r>
      <w:r>
        <w:rPr>
          <w:rFonts w:hint="eastAsia" w:cs="黑体"/>
          <w:sz w:val="21"/>
          <w:szCs w:val="21"/>
        </w:rPr>
        <w:t>2</w:t>
      </w:r>
      <w:r>
        <w:rPr>
          <w:rFonts w:cs="黑体"/>
          <w:sz w:val="21"/>
          <w:szCs w:val="21"/>
        </w:rPr>
        <w:t>]</w:t>
      </w:r>
    </w:p>
    <w:p w14:paraId="0ED9ACE0">
      <w:pPr>
        <w:pStyle w:val="98"/>
        <w:numPr>
          <w:ilvl w:val="0"/>
          <w:numId w:val="0"/>
        </w:numPr>
        <w:spacing w:before="120" w:after="120"/>
      </w:pPr>
      <w:bookmarkStart w:id="118" w:name="_Toc29348"/>
      <w:bookmarkStart w:id="119" w:name="_Toc4555"/>
      <w:bookmarkStart w:id="120" w:name="_Toc30667"/>
      <w:r>
        <w:t>3</w:t>
      </w:r>
      <w:r>
        <w:rPr>
          <w:rFonts w:hint="eastAsia"/>
        </w:rPr>
        <w:t>.4</w:t>
      </w:r>
      <w:bookmarkEnd w:id="118"/>
      <w:bookmarkEnd w:id="119"/>
      <w:bookmarkEnd w:id="120"/>
    </w:p>
    <w:p w14:paraId="44F57DE6">
      <w:pPr>
        <w:pStyle w:val="98"/>
        <w:numPr>
          <w:ilvl w:val="0"/>
          <w:numId w:val="0"/>
        </w:numPr>
        <w:spacing w:before="120" w:after="120"/>
        <w:ind w:firstLine="420" w:firstLineChars="200"/>
        <w:rPr>
          <w:rFonts w:hAnsi="黑体"/>
        </w:rPr>
      </w:pPr>
      <w:bookmarkStart w:id="121" w:name="_Toc13314"/>
      <w:r>
        <w:rPr>
          <w:rFonts w:hint="eastAsia" w:hAnsi="黑体"/>
        </w:rPr>
        <w:t>有序充电管理终端</w:t>
      </w:r>
      <w:r>
        <w:rPr>
          <w:rFonts w:hAnsi="黑体"/>
        </w:rPr>
        <w:t xml:space="preserve"> </w:t>
      </w:r>
      <w:r>
        <w:rPr>
          <w:rFonts w:hint="eastAsia" w:hAnsi="黑体"/>
        </w:rPr>
        <w:t>coordinated charging management terminal</w:t>
      </w:r>
      <w:bookmarkEnd w:id="121"/>
    </w:p>
    <w:p w14:paraId="4B89180C">
      <w:pPr>
        <w:pStyle w:val="34"/>
        <w:spacing w:before="0" w:beforeLines="0" w:after="0" w:afterLines="0"/>
        <w:ind w:firstLine="420"/>
        <w:rPr>
          <w:sz w:val="21"/>
          <w:szCs w:val="21"/>
        </w:rPr>
      </w:pPr>
      <w:r>
        <w:rPr>
          <w:rFonts w:hint="eastAsia"/>
          <w:sz w:val="21"/>
          <w:szCs w:val="21"/>
        </w:rPr>
        <w:t>通过接收和/或制定有序充电策略并下发至有序充电设备执行，实现有序充电设备本地运行管理的装置。</w:t>
      </w:r>
    </w:p>
    <w:p w14:paraId="4CD75F1B">
      <w:pPr>
        <w:pStyle w:val="34"/>
        <w:spacing w:before="0" w:beforeLines="0" w:after="0" w:afterLines="0"/>
        <w:ind w:firstLine="420"/>
        <w:rPr>
          <w:rFonts w:cs="黑体"/>
          <w:sz w:val="21"/>
          <w:szCs w:val="21"/>
        </w:rPr>
      </w:pPr>
      <w:r>
        <w:rPr>
          <w:rFonts w:cs="黑体"/>
          <w:sz w:val="21"/>
          <w:szCs w:val="21"/>
        </w:rPr>
        <w:t>[</w:t>
      </w:r>
      <w:r>
        <w:rPr>
          <w:rFonts w:hint="eastAsia" w:cs="黑体"/>
          <w:sz w:val="21"/>
          <w:szCs w:val="21"/>
        </w:rPr>
        <w:t>来源：NB/T 11305.2—2023</w:t>
      </w:r>
      <w:r>
        <w:rPr>
          <w:rFonts w:cs="黑体"/>
          <w:sz w:val="21"/>
          <w:szCs w:val="21"/>
        </w:rPr>
        <w:t>，3.</w:t>
      </w:r>
      <w:r>
        <w:rPr>
          <w:rFonts w:hint="eastAsia" w:cs="黑体"/>
          <w:sz w:val="21"/>
          <w:szCs w:val="21"/>
        </w:rPr>
        <w:t>4，有修改</w:t>
      </w:r>
      <w:r>
        <w:rPr>
          <w:rFonts w:cs="黑体"/>
          <w:sz w:val="21"/>
          <w:szCs w:val="21"/>
        </w:rPr>
        <w:t>]</w:t>
      </w:r>
    </w:p>
    <w:p w14:paraId="3390C727">
      <w:pPr>
        <w:pStyle w:val="98"/>
        <w:numPr>
          <w:ilvl w:val="0"/>
          <w:numId w:val="0"/>
        </w:numPr>
        <w:spacing w:before="120" w:after="120"/>
      </w:pPr>
      <w:bookmarkStart w:id="122" w:name="_Toc1055"/>
      <w:bookmarkStart w:id="123" w:name="_Toc5190"/>
      <w:bookmarkStart w:id="124" w:name="_Toc19771"/>
      <w:r>
        <w:t>3</w:t>
      </w:r>
      <w:r>
        <w:rPr>
          <w:rFonts w:hint="eastAsia"/>
        </w:rPr>
        <w:t>.5</w:t>
      </w:r>
      <w:bookmarkEnd w:id="122"/>
      <w:bookmarkEnd w:id="123"/>
    </w:p>
    <w:p w14:paraId="6088AEC9">
      <w:pPr>
        <w:pStyle w:val="98"/>
        <w:numPr>
          <w:ilvl w:val="0"/>
          <w:numId w:val="0"/>
        </w:numPr>
        <w:spacing w:before="120" w:after="120"/>
        <w:ind w:firstLine="420" w:firstLineChars="200"/>
        <w:rPr>
          <w:rFonts w:hAnsi="黑体"/>
        </w:rPr>
      </w:pPr>
      <w:bookmarkStart w:id="125" w:name="_Toc23636"/>
      <w:r>
        <w:rPr>
          <w:rFonts w:hint="eastAsia" w:hAnsi="黑体"/>
        </w:rPr>
        <w:t>充电运营管理平台</w:t>
      </w:r>
      <w:r>
        <w:rPr>
          <w:rFonts w:hAnsi="黑体"/>
        </w:rPr>
        <w:t xml:space="preserve"> </w:t>
      </w:r>
      <w:r>
        <w:rPr>
          <w:rFonts w:hint="eastAsia" w:hAnsi="黑体"/>
        </w:rPr>
        <w:t>charging operation platform</w:t>
      </w:r>
      <w:bookmarkEnd w:id="125"/>
    </w:p>
    <w:p w14:paraId="564A0EFD">
      <w:pPr>
        <w:pStyle w:val="34"/>
        <w:spacing w:before="0" w:beforeLines="0" w:after="0" w:afterLines="0"/>
        <w:ind w:firstLine="420"/>
        <w:rPr>
          <w:sz w:val="21"/>
          <w:szCs w:val="21"/>
        </w:rPr>
      </w:pPr>
      <w:r>
        <w:rPr>
          <w:rFonts w:hint="eastAsia"/>
          <w:sz w:val="21"/>
          <w:szCs w:val="21"/>
        </w:rPr>
        <w:t>对电动汽车及有序充电设备进行信息采集、处理和运行管理，向用户提供充电服务、业务管理及信息服务功能的支撑系统。</w:t>
      </w:r>
    </w:p>
    <w:p w14:paraId="203E8CD7">
      <w:pPr>
        <w:pStyle w:val="98"/>
        <w:numPr>
          <w:ilvl w:val="0"/>
          <w:numId w:val="0"/>
        </w:numPr>
        <w:spacing w:before="120" w:after="120"/>
      </w:pPr>
      <w:bookmarkStart w:id="126" w:name="_Toc24728"/>
      <w:bookmarkStart w:id="127" w:name="_Toc1997"/>
      <w:r>
        <w:t>3</w:t>
      </w:r>
      <w:r>
        <w:rPr>
          <w:rFonts w:hint="eastAsia"/>
        </w:rPr>
        <w:t>.</w:t>
      </w:r>
      <w:bookmarkEnd w:id="124"/>
      <w:r>
        <w:rPr>
          <w:rFonts w:hint="eastAsia"/>
        </w:rPr>
        <w:t>6</w:t>
      </w:r>
      <w:bookmarkEnd w:id="126"/>
      <w:bookmarkEnd w:id="127"/>
    </w:p>
    <w:p w14:paraId="7F1FEF7E">
      <w:pPr>
        <w:pStyle w:val="98"/>
        <w:numPr>
          <w:ilvl w:val="0"/>
          <w:numId w:val="0"/>
        </w:numPr>
        <w:spacing w:before="120" w:after="120"/>
        <w:ind w:firstLine="420" w:firstLineChars="200"/>
        <w:rPr>
          <w:rFonts w:hAnsi="黑体"/>
        </w:rPr>
      </w:pPr>
      <w:bookmarkStart w:id="128" w:name="_Toc32746"/>
      <w:r>
        <w:rPr>
          <w:rFonts w:hint="eastAsia" w:hAnsi="黑体"/>
        </w:rPr>
        <w:t>有序充电管理平台</w:t>
      </w:r>
      <w:r>
        <w:rPr>
          <w:rFonts w:hAnsi="黑体"/>
        </w:rPr>
        <w:t xml:space="preserve"> </w:t>
      </w:r>
      <w:r>
        <w:rPr>
          <w:rFonts w:hint="eastAsia" w:hAnsi="黑体"/>
        </w:rPr>
        <w:t>coordinated charging management platform</w:t>
      </w:r>
      <w:bookmarkEnd w:id="128"/>
    </w:p>
    <w:p w14:paraId="74CA4CC0">
      <w:pPr>
        <w:pStyle w:val="34"/>
        <w:spacing w:before="0" w:beforeLines="0" w:after="0" w:afterLines="0"/>
        <w:ind w:firstLine="420"/>
        <w:rPr>
          <w:sz w:val="21"/>
          <w:szCs w:val="21"/>
        </w:rPr>
      </w:pPr>
      <w:r>
        <w:rPr>
          <w:rFonts w:hint="eastAsia"/>
          <w:sz w:val="21"/>
          <w:szCs w:val="21"/>
        </w:rPr>
        <w:t>实现电动汽车与电网或其他主体间有序充电控制策略制定、下发及监控管理功能的系统。</w:t>
      </w:r>
    </w:p>
    <w:p w14:paraId="1021BA4A">
      <w:pPr>
        <w:pStyle w:val="34"/>
        <w:spacing w:before="0" w:beforeLines="0" w:after="0" w:afterLines="0"/>
        <w:ind w:firstLine="420"/>
        <w:rPr>
          <w:rFonts w:cs="宋体"/>
          <w:sz w:val="21"/>
          <w:szCs w:val="21"/>
        </w:rPr>
      </w:pPr>
      <w:r>
        <w:rPr>
          <w:rFonts w:cs="宋体"/>
          <w:sz w:val="21"/>
          <w:szCs w:val="21"/>
        </w:rPr>
        <w:t>[</w:t>
      </w:r>
      <w:r>
        <w:rPr>
          <w:rFonts w:hint="eastAsia" w:cs="宋体"/>
          <w:sz w:val="21"/>
          <w:szCs w:val="21"/>
        </w:rPr>
        <w:t>来源：</w:t>
      </w:r>
      <w:r>
        <w:rPr>
          <w:rFonts w:hint="eastAsia" w:cs="黑体"/>
          <w:sz w:val="21"/>
          <w:szCs w:val="21"/>
        </w:rPr>
        <w:t>NB/T 11305.2—2023</w:t>
      </w:r>
      <w:r>
        <w:rPr>
          <w:rFonts w:cs="黑体"/>
          <w:sz w:val="21"/>
          <w:szCs w:val="21"/>
        </w:rPr>
        <w:t>，3.</w:t>
      </w:r>
      <w:r>
        <w:rPr>
          <w:rFonts w:hint="eastAsia" w:cs="黑体"/>
          <w:sz w:val="21"/>
          <w:szCs w:val="21"/>
        </w:rPr>
        <w:t>3</w:t>
      </w:r>
      <w:r>
        <w:rPr>
          <w:rFonts w:cs="黑体"/>
          <w:sz w:val="21"/>
          <w:szCs w:val="21"/>
        </w:rPr>
        <w:t>]</w:t>
      </w:r>
    </w:p>
    <w:bookmarkEnd w:id="96"/>
    <w:bookmarkEnd w:id="97"/>
    <w:p w14:paraId="7FA3A019">
      <w:pPr>
        <w:pStyle w:val="76"/>
        <w:spacing w:before="240" w:after="240"/>
      </w:pPr>
      <w:bookmarkStart w:id="129" w:name="_Toc28990"/>
      <w:bookmarkStart w:id="130" w:name="_Toc9127"/>
      <w:bookmarkStart w:id="131" w:name="_Toc7504"/>
      <w:bookmarkStart w:id="132" w:name="_Toc13017"/>
      <w:bookmarkStart w:id="133" w:name="_Toc22440"/>
      <w:r>
        <w:rPr>
          <w:rFonts w:hint="eastAsia"/>
        </w:rPr>
        <w:t>有序充电系统架构</w:t>
      </w:r>
      <w:bookmarkEnd w:id="129"/>
      <w:r>
        <w:rPr>
          <w:rFonts w:hint="eastAsia"/>
        </w:rPr>
        <w:t>和功能要求</w:t>
      </w:r>
      <w:bookmarkEnd w:id="130"/>
      <w:bookmarkEnd w:id="131"/>
      <w:bookmarkEnd w:id="132"/>
      <w:bookmarkEnd w:id="133"/>
    </w:p>
    <w:p w14:paraId="53CCE2A8">
      <w:pPr>
        <w:pStyle w:val="98"/>
        <w:spacing w:before="120" w:after="120"/>
        <w:rPr>
          <w:rFonts w:hAnsi="黑体"/>
        </w:rPr>
      </w:pPr>
      <w:bookmarkStart w:id="134" w:name="_Toc19404"/>
      <w:bookmarkStart w:id="135" w:name="_Toc16664"/>
      <w:r>
        <w:rPr>
          <w:rFonts w:hint="eastAsia" w:hAnsi="黑体"/>
        </w:rPr>
        <w:t>系统架构</w:t>
      </w:r>
      <w:bookmarkEnd w:id="134"/>
      <w:bookmarkEnd w:id="135"/>
    </w:p>
    <w:p w14:paraId="33F567DB">
      <w:pPr>
        <w:pStyle w:val="34"/>
        <w:autoSpaceDE/>
        <w:autoSpaceDN/>
        <w:spacing w:before="0" w:beforeLines="0" w:after="0" w:afterLines="0"/>
        <w:ind w:firstLine="420"/>
        <w:rPr>
          <w:sz w:val="21"/>
          <w:szCs w:val="21"/>
        </w:rPr>
      </w:pPr>
      <w:r>
        <w:rPr>
          <w:rFonts w:hint="eastAsia"/>
          <w:sz w:val="21"/>
          <w:szCs w:val="21"/>
        </w:rPr>
        <w:t>低压台区电动汽车有序充电系统的基本构成包括有序充电管理平台和有序充电设备，还可包含有序充电管理终端、充电运营管理平台，主要有充电设备直连管理平台、充电设备通过管理终端连接管理平台、充电设备通过运营平台连接管理平台等3种模式，可根据应用场景进行选择。具体不同组成的系统架构框图见附录A。</w:t>
      </w:r>
    </w:p>
    <w:p w14:paraId="2BECE146">
      <w:pPr>
        <w:pStyle w:val="98"/>
        <w:spacing w:before="120" w:after="120"/>
        <w:rPr>
          <w:rFonts w:hAnsi="黑体"/>
        </w:rPr>
      </w:pPr>
      <w:bookmarkStart w:id="136" w:name="_Toc24574"/>
      <w:r>
        <w:rPr>
          <w:rFonts w:hint="eastAsia" w:hAnsi="黑体"/>
        </w:rPr>
        <w:t>有序充电设备</w:t>
      </w:r>
      <w:bookmarkEnd w:id="136"/>
    </w:p>
    <w:p w14:paraId="28ED7FD1">
      <w:pPr>
        <w:pStyle w:val="34"/>
        <w:autoSpaceDE/>
        <w:autoSpaceDN/>
        <w:spacing w:before="120" w:after="120"/>
        <w:ind w:firstLine="420"/>
      </w:pPr>
      <w:r>
        <w:rPr>
          <w:rFonts w:hint="eastAsia"/>
          <w:sz w:val="21"/>
          <w:szCs w:val="21"/>
        </w:rPr>
        <w:t>有序充电设备功能应满足</w:t>
      </w:r>
      <w:r>
        <w:rPr>
          <w:rFonts w:hint="eastAsia" w:cs="黑体"/>
          <w:sz w:val="21"/>
          <w:szCs w:val="21"/>
        </w:rPr>
        <w:t>NB/T 11305.2—2023第4.3条</w:t>
      </w:r>
      <w:r>
        <w:rPr>
          <w:rFonts w:hint="eastAsia"/>
          <w:sz w:val="21"/>
          <w:szCs w:val="21"/>
        </w:rPr>
        <w:t>的规定。</w:t>
      </w:r>
    </w:p>
    <w:p w14:paraId="3B363978">
      <w:pPr>
        <w:pStyle w:val="98"/>
        <w:spacing w:before="120" w:after="120"/>
        <w:rPr>
          <w:rFonts w:hAnsi="黑体"/>
        </w:rPr>
      </w:pPr>
      <w:bookmarkStart w:id="137" w:name="_Toc10785"/>
      <w:r>
        <w:rPr>
          <w:rFonts w:hint="eastAsia" w:hAnsi="黑体"/>
        </w:rPr>
        <w:t>有序充电管理终端</w:t>
      </w:r>
      <w:bookmarkEnd w:id="137"/>
    </w:p>
    <w:p w14:paraId="4D439472">
      <w:pPr>
        <w:pStyle w:val="34"/>
        <w:spacing w:before="0" w:beforeLines="0" w:after="0" w:afterLines="0"/>
        <w:ind w:firstLine="420"/>
        <w:rPr>
          <w:sz w:val="21"/>
          <w:szCs w:val="21"/>
        </w:rPr>
      </w:pPr>
      <w:r>
        <w:rPr>
          <w:rFonts w:hint="eastAsia"/>
          <w:sz w:val="21"/>
          <w:szCs w:val="21"/>
        </w:rPr>
        <w:t>有序充电管理终端应具备本地有序充电控制、有序充电设备运行管理等功能，可根据本地有序充电控制策略或接收上级管理系统控制命令，对有序充电设备进行动态调控。有序充电管理终端宜获取有序充电决策所需信息，例如充电时刻电动汽车荷电状态（SOC, State of Charge）、充电电量、用车时间等。</w:t>
      </w:r>
    </w:p>
    <w:p w14:paraId="7A0B1737">
      <w:pPr>
        <w:pStyle w:val="98"/>
        <w:spacing w:before="120" w:after="120"/>
        <w:rPr>
          <w:rFonts w:hAnsi="黑体"/>
        </w:rPr>
      </w:pPr>
      <w:bookmarkStart w:id="138" w:name="_Toc28132"/>
      <w:r>
        <w:rPr>
          <w:rFonts w:hint="eastAsia" w:hAnsi="黑体"/>
        </w:rPr>
        <w:t>充电运营管理平台</w:t>
      </w:r>
      <w:bookmarkEnd w:id="138"/>
    </w:p>
    <w:p w14:paraId="508DBCB7">
      <w:pPr>
        <w:pStyle w:val="34"/>
        <w:spacing w:before="120" w:after="120"/>
        <w:ind w:firstLine="420"/>
        <w:jc w:val="left"/>
      </w:pPr>
      <w:r>
        <w:rPr>
          <w:rFonts w:hint="eastAsia"/>
          <w:sz w:val="21"/>
          <w:szCs w:val="21"/>
        </w:rPr>
        <w:t>充电运营管理平台应具备与有序充电管理平台双向信息交互功能，可将管理有序充电设备相关状态信息及用户行为信息传递至有序充电管理平台，接收有序充电管理平台控制命令，并对有序充电设备进行动态调控。</w:t>
      </w:r>
    </w:p>
    <w:p w14:paraId="2F54C9BC">
      <w:pPr>
        <w:pStyle w:val="98"/>
        <w:spacing w:before="120" w:after="120"/>
        <w:rPr>
          <w:rFonts w:hAnsi="黑体"/>
        </w:rPr>
      </w:pPr>
      <w:bookmarkStart w:id="139" w:name="_Toc14338"/>
      <w:bookmarkStart w:id="140" w:name="_Toc23187"/>
      <w:r>
        <w:rPr>
          <w:rFonts w:hint="eastAsia" w:hAnsi="黑体"/>
        </w:rPr>
        <w:t>有序充电管理平台</w:t>
      </w:r>
      <w:bookmarkEnd w:id="139"/>
      <w:bookmarkEnd w:id="140"/>
    </w:p>
    <w:p w14:paraId="693C8D96">
      <w:pPr>
        <w:pStyle w:val="34"/>
        <w:spacing w:before="0" w:beforeLines="0" w:after="0" w:afterLines="0"/>
        <w:ind w:firstLine="420"/>
        <w:rPr>
          <w:rFonts w:cs="黑体"/>
          <w:sz w:val="21"/>
          <w:szCs w:val="21"/>
        </w:rPr>
      </w:pPr>
      <w:r>
        <w:rPr>
          <w:rFonts w:hint="eastAsia" w:cs="黑体"/>
          <w:sz w:val="21"/>
          <w:szCs w:val="21"/>
        </w:rPr>
        <w:t>有序充电管理平台应具备有序充电控制及运行管理功能，可根据低压台区预测负荷功率、电网功率调节需求或价格信息、有序充电设备运行信息、车辆信息和用户需求等，生成有序充电控制策略，控制有序充电设备的充电启停、充电功率、充电时段。该平台可独立存在，也可与充电运营管理平台等系统集成。</w:t>
      </w:r>
    </w:p>
    <w:p w14:paraId="4E77818C">
      <w:pPr>
        <w:pStyle w:val="76"/>
        <w:spacing w:before="240" w:after="240"/>
        <w:rPr>
          <w:szCs w:val="21"/>
        </w:rPr>
      </w:pPr>
      <w:bookmarkStart w:id="141" w:name="_Toc26714"/>
      <w:bookmarkStart w:id="142" w:name="_Toc902"/>
      <w:bookmarkStart w:id="143" w:name="_Toc2537"/>
      <w:bookmarkStart w:id="144" w:name="_Toc26025"/>
      <w:bookmarkStart w:id="145" w:name="_Toc22335"/>
      <w:r>
        <w:rPr>
          <w:rFonts w:hint="eastAsia"/>
        </w:rPr>
        <w:t>有序充电设备技术要求</w:t>
      </w:r>
      <w:bookmarkEnd w:id="141"/>
      <w:bookmarkEnd w:id="142"/>
      <w:bookmarkEnd w:id="143"/>
      <w:bookmarkEnd w:id="144"/>
      <w:bookmarkEnd w:id="145"/>
    </w:p>
    <w:p w14:paraId="2393C68C">
      <w:pPr>
        <w:pStyle w:val="98"/>
        <w:spacing w:before="120" w:after="120"/>
        <w:rPr>
          <w:rFonts w:hAnsi="黑体"/>
        </w:rPr>
      </w:pPr>
      <w:bookmarkStart w:id="146" w:name="_Toc5153"/>
      <w:bookmarkStart w:id="147" w:name="_Toc22538"/>
      <w:r>
        <w:rPr>
          <w:rFonts w:hint="eastAsia" w:hAnsi="黑体"/>
        </w:rPr>
        <w:t>功率调节</w:t>
      </w:r>
      <w:bookmarkEnd w:id="146"/>
      <w:bookmarkEnd w:id="147"/>
    </w:p>
    <w:p w14:paraId="7E7D360F">
      <w:pPr>
        <w:pStyle w:val="34"/>
        <w:spacing w:before="120" w:after="120"/>
        <w:ind w:firstLine="420"/>
        <w:rPr>
          <w:sz w:val="21"/>
          <w:szCs w:val="21"/>
        </w:rPr>
      </w:pPr>
      <w:r>
        <w:rPr>
          <w:rFonts w:hint="eastAsia"/>
          <w:sz w:val="21"/>
          <w:szCs w:val="21"/>
        </w:rPr>
        <w:t>交流充电桩按照功率调节指令，调节控制导引电路输出脉宽调制信号占空比，通过电动汽车车载充电机调整输出电流，实现输出功率调节功能；交流充电桩的控制导引电路PWM信号输出占空比公差应满足GB/T 18487.1-2023中附录A.1的要求。</w:t>
      </w:r>
    </w:p>
    <w:p w14:paraId="00B91721">
      <w:pPr>
        <w:pStyle w:val="34"/>
        <w:spacing w:before="120" w:after="120"/>
        <w:ind w:firstLine="420"/>
        <w:rPr>
          <w:sz w:val="21"/>
          <w:szCs w:val="21"/>
        </w:rPr>
      </w:pPr>
      <w:r>
        <w:rPr>
          <w:rFonts w:hint="eastAsia"/>
          <w:sz w:val="21"/>
          <w:szCs w:val="21"/>
        </w:rPr>
        <w:t>非车载充电机按照充电机最大输出能力、车辆需求和功率调节指令等信息调整输出电压和电流参数，实现输出功率调节功能。非车载充电机的稳流精度、稳压精度、输出电流设定误差、输出电压设定误差等技术指标应满足NB/T 33001-2018中第7.7.4条、7.7.5条、7.7.8条、7.7.9条等要求。</w:t>
      </w:r>
    </w:p>
    <w:p w14:paraId="6608269B">
      <w:pPr>
        <w:pStyle w:val="98"/>
        <w:spacing w:before="120" w:after="120"/>
        <w:rPr>
          <w:rFonts w:hAnsi="黑体"/>
        </w:rPr>
      </w:pPr>
      <w:bookmarkStart w:id="148" w:name="_Toc13739"/>
      <w:bookmarkStart w:id="149" w:name="_Toc4122"/>
      <w:r>
        <w:rPr>
          <w:rFonts w:hint="eastAsia" w:hAnsi="黑体"/>
        </w:rPr>
        <w:t>启停控制</w:t>
      </w:r>
      <w:bookmarkEnd w:id="148"/>
      <w:bookmarkEnd w:id="149"/>
    </w:p>
    <w:p w14:paraId="1C6BFB56">
      <w:pPr>
        <w:pStyle w:val="34"/>
        <w:spacing w:before="120" w:after="120"/>
        <w:ind w:firstLine="420"/>
        <w:rPr>
          <w:sz w:val="21"/>
          <w:szCs w:val="21"/>
        </w:rPr>
      </w:pPr>
      <w:r>
        <w:rPr>
          <w:rFonts w:hint="eastAsia"/>
          <w:sz w:val="21"/>
          <w:szCs w:val="21"/>
        </w:rPr>
        <w:t>有序充电设备接收到启停控制命令后，执行即时启动充电、暂停充电、恢复充电、停止充电等操作，指令响应时间应满足NB/T11305.2-2023中第6.1条的要求。</w:t>
      </w:r>
    </w:p>
    <w:p w14:paraId="157D60AA">
      <w:pPr>
        <w:pStyle w:val="98"/>
        <w:spacing w:before="120" w:after="120"/>
        <w:rPr>
          <w:rFonts w:hAnsi="黑体"/>
        </w:rPr>
      </w:pPr>
      <w:bookmarkStart w:id="150" w:name="_Toc15613"/>
      <w:bookmarkStart w:id="151" w:name="_Toc28338"/>
      <w:r>
        <w:rPr>
          <w:rFonts w:hint="eastAsia" w:hAnsi="黑体"/>
        </w:rPr>
        <w:t>定时控制</w:t>
      </w:r>
      <w:bookmarkEnd w:id="150"/>
      <w:bookmarkEnd w:id="151"/>
    </w:p>
    <w:p w14:paraId="06371421">
      <w:pPr>
        <w:pStyle w:val="34"/>
        <w:spacing w:before="120" w:after="120"/>
        <w:ind w:firstLine="420"/>
      </w:pPr>
      <w:r>
        <w:rPr>
          <w:rFonts w:hint="eastAsia"/>
          <w:sz w:val="21"/>
          <w:szCs w:val="21"/>
        </w:rPr>
        <w:t>有序充电设备应具备实时时钟和对时功能，支持用户本地或远程实现定时启动和输出功率定时自动调整，定时启动充电、停止充电或调整充电功率，设备的日计时偏差应不大于0.5s/d，有序充电设备的时钟偏差应不超过10min。</w:t>
      </w:r>
    </w:p>
    <w:p w14:paraId="047FFC16">
      <w:pPr>
        <w:pStyle w:val="98"/>
        <w:spacing w:before="120" w:after="120"/>
        <w:rPr>
          <w:rFonts w:hAnsi="黑体"/>
        </w:rPr>
      </w:pPr>
      <w:bookmarkStart w:id="152" w:name="_Toc28446"/>
      <w:bookmarkStart w:id="153" w:name="_Toc4107"/>
      <w:r>
        <w:rPr>
          <w:rFonts w:hint="eastAsia" w:hAnsi="黑体"/>
        </w:rPr>
        <w:t>车辆充电唤醒</w:t>
      </w:r>
      <w:bookmarkEnd w:id="152"/>
      <w:bookmarkEnd w:id="153"/>
    </w:p>
    <w:p w14:paraId="6C29432E">
      <w:pPr>
        <w:pStyle w:val="34"/>
        <w:spacing w:before="120" w:after="120"/>
        <w:ind w:firstLine="420"/>
        <w:rPr>
          <w:sz w:val="21"/>
          <w:szCs w:val="21"/>
        </w:rPr>
      </w:pPr>
      <w:r>
        <w:rPr>
          <w:rFonts w:hint="eastAsia"/>
          <w:sz w:val="21"/>
          <w:szCs w:val="21"/>
        </w:rPr>
        <w:t>有序充电设备应具备车辆充电唤醒功能，可以唤醒处于休眠状态的车辆。在不计车辆唤醒响应延迟时，有序充电设备唤醒车辆开始充电的时间应满足NB/T11305.2-2023中第6.1条的要求。</w:t>
      </w:r>
    </w:p>
    <w:p w14:paraId="2243217F">
      <w:pPr>
        <w:pStyle w:val="98"/>
        <w:spacing w:before="120" w:after="120"/>
        <w:rPr>
          <w:rFonts w:hAnsi="黑体"/>
        </w:rPr>
      </w:pPr>
      <w:bookmarkStart w:id="154" w:name="_Toc16419"/>
      <w:bookmarkStart w:id="155" w:name="_Toc7376"/>
      <w:r>
        <w:rPr>
          <w:rFonts w:hint="eastAsia" w:hAnsi="黑体"/>
        </w:rPr>
        <w:t>数据通信</w:t>
      </w:r>
      <w:bookmarkEnd w:id="154"/>
      <w:bookmarkEnd w:id="155"/>
    </w:p>
    <w:p w14:paraId="7CEFB0F7">
      <w:pPr>
        <w:pStyle w:val="34"/>
        <w:spacing w:before="120" w:after="120"/>
        <w:ind w:firstLine="420"/>
        <w:rPr>
          <w:sz w:val="21"/>
          <w:szCs w:val="21"/>
        </w:rPr>
      </w:pPr>
      <w:r>
        <w:rPr>
          <w:rFonts w:hint="eastAsia"/>
          <w:sz w:val="21"/>
          <w:szCs w:val="21"/>
        </w:rPr>
        <w:t>有序充电设备应具备与有序充电管理终端、有序充电管理平台或相关系统进行信息交互的功能,应能存储有序充电管理终端、有序充电管理平台或相关系统下发的有序充电策略，在通信断开情况下应能自动执行预设有序充电控制策略。</w:t>
      </w:r>
    </w:p>
    <w:p w14:paraId="09FAA11A">
      <w:pPr>
        <w:pStyle w:val="34"/>
        <w:spacing w:before="120" w:after="120"/>
        <w:ind w:firstLine="420"/>
        <w:rPr>
          <w:sz w:val="21"/>
          <w:szCs w:val="21"/>
        </w:rPr>
      </w:pPr>
      <w:r>
        <w:rPr>
          <w:rFonts w:hint="eastAsia"/>
          <w:sz w:val="21"/>
          <w:szCs w:val="21"/>
        </w:rPr>
        <w:t>交流充电桩应能通过控制PWM占空比与车辆进行充电功率控制信息交互；非车载充电机应具备通过GB/T 27930规定的通信协议与车辆进行充电功率控制信息交互。</w:t>
      </w:r>
    </w:p>
    <w:p w14:paraId="57A8AB77">
      <w:pPr>
        <w:pStyle w:val="98"/>
        <w:spacing w:before="120" w:after="120"/>
      </w:pPr>
      <w:bookmarkStart w:id="156" w:name="_Toc15403"/>
      <w:bookmarkStart w:id="157" w:name="_Toc18215"/>
      <w:r>
        <w:rPr>
          <w:rFonts w:hint="eastAsia"/>
        </w:rPr>
        <w:t>数据上报</w:t>
      </w:r>
      <w:bookmarkEnd w:id="156"/>
      <w:bookmarkEnd w:id="157"/>
    </w:p>
    <w:p w14:paraId="5FD20BAD">
      <w:pPr>
        <w:pStyle w:val="34"/>
        <w:spacing w:before="0" w:beforeLines="0" w:after="0" w:afterLines="0"/>
        <w:ind w:firstLine="420"/>
        <w:rPr>
          <w:sz w:val="21"/>
          <w:szCs w:val="21"/>
        </w:rPr>
      </w:pPr>
      <w:r>
        <w:rPr>
          <w:rFonts w:hint="eastAsia"/>
          <w:sz w:val="21"/>
          <w:szCs w:val="21"/>
        </w:rPr>
        <w:t>有序充电设备的数据主动上报时间间隔不大于15min，上报延迟时间不大于1min。</w:t>
      </w:r>
    </w:p>
    <w:p w14:paraId="5F9A98C2">
      <w:pPr>
        <w:pStyle w:val="34"/>
        <w:spacing w:before="0" w:beforeLines="0" w:after="0" w:afterLines="0"/>
        <w:ind w:firstLine="420"/>
        <w:rPr>
          <w:sz w:val="21"/>
          <w:szCs w:val="21"/>
        </w:rPr>
      </w:pPr>
      <w:r>
        <w:rPr>
          <w:rFonts w:hint="eastAsia"/>
          <w:sz w:val="21"/>
          <w:szCs w:val="21"/>
        </w:rPr>
        <w:t>有序充电设备宜主动上报以下信息：</w:t>
      </w:r>
    </w:p>
    <w:p w14:paraId="23A6545C">
      <w:pPr>
        <w:pStyle w:val="34"/>
        <w:numPr>
          <w:ilvl w:val="0"/>
          <w:numId w:val="24"/>
        </w:numPr>
        <w:spacing w:before="0" w:beforeLines="0" w:after="0" w:afterLines="0"/>
        <w:ind w:firstLine="420"/>
        <w:rPr>
          <w:sz w:val="21"/>
          <w:szCs w:val="21"/>
        </w:rPr>
      </w:pPr>
      <w:r>
        <w:rPr>
          <w:rFonts w:hint="eastAsia"/>
          <w:sz w:val="21"/>
          <w:szCs w:val="21"/>
        </w:rPr>
        <w:t>有序充电设备的状态，包括充电接口连接状态、充电/故障状态、预约状态等。</w:t>
      </w:r>
    </w:p>
    <w:p w14:paraId="7A111ED7">
      <w:pPr>
        <w:pStyle w:val="34"/>
        <w:numPr>
          <w:ilvl w:val="0"/>
          <w:numId w:val="24"/>
        </w:numPr>
        <w:spacing w:before="0" w:beforeLines="0" w:after="0" w:afterLines="0"/>
        <w:ind w:firstLine="420"/>
        <w:rPr>
          <w:sz w:val="21"/>
          <w:szCs w:val="21"/>
        </w:rPr>
      </w:pPr>
      <w:r>
        <w:rPr>
          <w:rFonts w:hint="eastAsia"/>
          <w:sz w:val="21"/>
          <w:szCs w:val="21"/>
        </w:rPr>
        <w:t>有序充电设备的充电信息，包括充电实时电压、电流、功率、电量、充电起始时间、故障代码信息等。</w:t>
      </w:r>
    </w:p>
    <w:p w14:paraId="593C114A">
      <w:pPr>
        <w:pStyle w:val="98"/>
        <w:spacing w:before="120" w:after="120"/>
      </w:pPr>
      <w:bookmarkStart w:id="158" w:name="_Toc12581"/>
      <w:bookmarkStart w:id="159" w:name="_Toc18106"/>
      <w:r>
        <w:rPr>
          <w:rFonts w:hint="eastAsia"/>
        </w:rPr>
        <w:t>状态自持</w:t>
      </w:r>
      <w:bookmarkEnd w:id="158"/>
      <w:bookmarkEnd w:id="159"/>
    </w:p>
    <w:p w14:paraId="0FEB05D2">
      <w:pPr>
        <w:pStyle w:val="34"/>
        <w:spacing w:before="0" w:beforeLines="0" w:after="0" w:afterLines="0"/>
        <w:ind w:firstLine="420"/>
        <w:rPr>
          <w:sz w:val="21"/>
          <w:szCs w:val="21"/>
        </w:rPr>
      </w:pPr>
      <w:r>
        <w:rPr>
          <w:rFonts w:hint="eastAsia"/>
          <w:sz w:val="21"/>
          <w:szCs w:val="21"/>
        </w:rPr>
        <w:t>当有序充电设备检测到与有序充电边缘终端之间的通信出现异常时，应能自动执行上一次预设或默认的充电控制策略。</w:t>
      </w:r>
    </w:p>
    <w:p w14:paraId="021F52D0">
      <w:pPr>
        <w:pStyle w:val="98"/>
        <w:spacing w:before="120" w:after="120"/>
      </w:pPr>
      <w:bookmarkStart w:id="160" w:name="_Toc26428"/>
      <w:bookmarkStart w:id="161" w:name="_Toc1882"/>
      <w:r>
        <w:rPr>
          <w:rFonts w:hint="eastAsia"/>
        </w:rPr>
        <w:t>人机交互</w:t>
      </w:r>
      <w:bookmarkEnd w:id="160"/>
      <w:bookmarkEnd w:id="161"/>
    </w:p>
    <w:p w14:paraId="74C5A71D">
      <w:pPr>
        <w:pStyle w:val="34"/>
        <w:spacing w:before="0" w:beforeLines="0" w:after="0" w:afterLines="0"/>
        <w:ind w:firstLine="420"/>
        <w:rPr>
          <w:sz w:val="21"/>
          <w:szCs w:val="21"/>
        </w:rPr>
      </w:pPr>
      <w:r>
        <w:rPr>
          <w:rFonts w:hint="eastAsia"/>
          <w:sz w:val="21"/>
          <w:szCs w:val="21"/>
        </w:rPr>
        <w:t>有序充电设备应具备人机交互功能，便于用户提交充电需求。</w:t>
      </w:r>
    </w:p>
    <w:p w14:paraId="76B03D99">
      <w:pPr>
        <w:pStyle w:val="98"/>
        <w:spacing w:before="120" w:after="120"/>
      </w:pPr>
      <w:bookmarkStart w:id="162" w:name="_Toc5633"/>
      <w:r>
        <w:rPr>
          <w:rFonts w:hint="eastAsia"/>
        </w:rPr>
        <w:t>故障报警</w:t>
      </w:r>
      <w:bookmarkEnd w:id="162"/>
    </w:p>
    <w:p w14:paraId="380FB79C">
      <w:pPr>
        <w:pStyle w:val="34"/>
        <w:spacing w:before="0" w:beforeLines="0" w:after="0" w:afterLines="0"/>
        <w:ind w:firstLine="420"/>
        <w:rPr>
          <w:sz w:val="21"/>
          <w:szCs w:val="21"/>
        </w:rPr>
      </w:pPr>
      <w:r>
        <w:rPr>
          <w:rFonts w:hint="eastAsia"/>
          <w:sz w:val="21"/>
          <w:szCs w:val="21"/>
        </w:rPr>
        <w:t>有序充电设备应具备故障告警功能，当出现充电中断、通信异常等故障时，应及时发出告警信号，记录告警事件并上报。</w:t>
      </w:r>
    </w:p>
    <w:p w14:paraId="33D6E33F">
      <w:pPr>
        <w:pStyle w:val="76"/>
        <w:spacing w:before="240" w:after="240"/>
      </w:pPr>
      <w:bookmarkStart w:id="163" w:name="_Toc25640"/>
      <w:bookmarkStart w:id="164" w:name="_Toc4925"/>
      <w:bookmarkStart w:id="165" w:name="_Toc26397"/>
      <w:bookmarkStart w:id="166" w:name="_Toc31887"/>
      <w:bookmarkStart w:id="167" w:name="_Toc21813"/>
      <w:r>
        <w:rPr>
          <w:rFonts w:hint="eastAsia"/>
        </w:rPr>
        <w:t>有序充电管理终端技术要求</w:t>
      </w:r>
      <w:bookmarkEnd w:id="163"/>
      <w:bookmarkEnd w:id="164"/>
      <w:bookmarkEnd w:id="165"/>
      <w:bookmarkEnd w:id="166"/>
      <w:bookmarkEnd w:id="167"/>
    </w:p>
    <w:p w14:paraId="207447C3">
      <w:pPr>
        <w:pStyle w:val="98"/>
        <w:spacing w:before="120" w:after="120"/>
      </w:pPr>
      <w:bookmarkStart w:id="168" w:name="_Toc2131"/>
      <w:bookmarkStart w:id="169" w:name="_Toc21821"/>
      <w:r>
        <w:rPr>
          <w:rFonts w:hint="eastAsia"/>
        </w:rPr>
        <w:t>台区负荷采集测量</w:t>
      </w:r>
      <w:bookmarkEnd w:id="168"/>
      <w:bookmarkEnd w:id="169"/>
    </w:p>
    <w:p w14:paraId="0ECB7EDD">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有序充电管理终端宜具备采集测量台区配电变压器用电负荷功能。</w:t>
      </w:r>
    </w:p>
    <w:p w14:paraId="77E4AED3">
      <w:pPr>
        <w:pStyle w:val="98"/>
        <w:spacing w:before="120" w:after="120"/>
      </w:pPr>
      <w:bookmarkStart w:id="170" w:name="_Toc14624"/>
      <w:bookmarkStart w:id="171" w:name="_Toc27438"/>
      <w:r>
        <w:rPr>
          <w:rFonts w:hint="eastAsia"/>
        </w:rPr>
        <w:t>有序充电设备管理</w:t>
      </w:r>
      <w:bookmarkEnd w:id="170"/>
      <w:bookmarkEnd w:id="171"/>
    </w:p>
    <w:p w14:paraId="617E2878">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有序充电管理终端应能识别有序充电设备，应能实现对所管理有序充电设备的接入管理、实时监控、数据存储和数据分析。</w:t>
      </w:r>
    </w:p>
    <w:p w14:paraId="0756BF97">
      <w:pPr>
        <w:pStyle w:val="98"/>
        <w:spacing w:before="120" w:after="120"/>
      </w:pPr>
      <w:bookmarkStart w:id="172" w:name="_Toc13116"/>
      <w:bookmarkStart w:id="173" w:name="_Toc24830"/>
      <w:r>
        <w:rPr>
          <w:rFonts w:hint="eastAsia"/>
        </w:rPr>
        <w:t>数据通信</w:t>
      </w:r>
      <w:bookmarkEnd w:id="172"/>
      <w:bookmarkEnd w:id="173"/>
    </w:p>
    <w:p w14:paraId="359B38F2">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有序充电管理终端的数据通信应符合以下要求：</w:t>
      </w:r>
    </w:p>
    <w:p w14:paraId="23E311F9">
      <w:pPr>
        <w:pStyle w:val="41"/>
        <w:numPr>
          <w:ilvl w:val="0"/>
          <w:numId w:val="25"/>
        </w:numPr>
        <w:tabs>
          <w:tab w:val="center" w:pos="4201"/>
          <w:tab w:val="right" w:leader="dot" w:pos="9298"/>
        </w:tabs>
        <w:autoSpaceDE w:val="0"/>
        <w:autoSpaceDN w:val="0"/>
        <w:spacing w:before="120" w:beforeLines="50" w:beforeAutospacing="0" w:after="120" w:afterLines="50" w:afterAutospacing="0"/>
        <w:ind w:firstLine="420" w:firstLineChars="200"/>
        <w:jc w:val="both"/>
      </w:pPr>
      <w:r>
        <w:rPr>
          <w:rFonts w:hint="eastAsia" w:cs="Times New Roman"/>
          <w:sz w:val="21"/>
          <w:szCs w:val="21"/>
          <w:lang w:bidi="ar"/>
        </w:rPr>
        <w:t>可接收有序充电设备上报的充电状态或充电信息数据，并上报至有序充电管理平台或相关系统，上报时间间隔不大于15min。</w:t>
      </w:r>
    </w:p>
    <w:p w14:paraId="3370088C">
      <w:pPr>
        <w:pStyle w:val="41"/>
        <w:numPr>
          <w:ilvl w:val="0"/>
          <w:numId w:val="25"/>
        </w:numPr>
        <w:tabs>
          <w:tab w:val="center" w:pos="4201"/>
          <w:tab w:val="right" w:leader="dot" w:pos="9298"/>
        </w:tabs>
        <w:autoSpaceDE w:val="0"/>
        <w:autoSpaceDN w:val="0"/>
        <w:spacing w:before="120" w:beforeLines="50" w:beforeAutospacing="0" w:after="120" w:afterLines="50" w:afterAutospacing="0"/>
        <w:ind w:firstLine="420" w:firstLineChars="200"/>
        <w:jc w:val="both"/>
        <w:rPr>
          <w:rFonts w:cs="Times New Roman"/>
          <w:sz w:val="21"/>
          <w:szCs w:val="21"/>
          <w:lang w:bidi="ar"/>
        </w:rPr>
      </w:pPr>
      <w:r>
        <w:rPr>
          <w:rFonts w:hint="eastAsia" w:cs="Times New Roman"/>
          <w:sz w:val="21"/>
          <w:szCs w:val="21"/>
          <w:lang w:bidi="ar"/>
        </w:rPr>
        <w:t>宜支持从其他系统或测量设备获取台区配电变压器用电负荷数据，包括但不限于有功功率。</w:t>
      </w:r>
    </w:p>
    <w:p w14:paraId="6F49452F">
      <w:pPr>
        <w:pStyle w:val="98"/>
        <w:spacing w:before="120" w:after="120"/>
      </w:pPr>
      <w:bookmarkStart w:id="174" w:name="_Toc11333"/>
      <w:bookmarkStart w:id="175" w:name="_Toc12810"/>
      <w:r>
        <w:rPr>
          <w:rFonts w:hint="eastAsia"/>
        </w:rPr>
        <w:t>有序充电策略生成</w:t>
      </w:r>
      <w:bookmarkEnd w:id="174"/>
      <w:bookmarkEnd w:id="175"/>
    </w:p>
    <w:p w14:paraId="43B3D8FE">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终端应根据配电变压器容量和用电负荷、有序充电桩充电状态、电动汽车充电信息数据等，基于预先设定的优化目标及计算步长，自动计算生成有序充电策略。有序充电策略宜是台区内电动汽车充电计划的理论最优方案，包括但不限于交流充电桩和非车载充电机的充电时段与充电功率调节指令。</w:t>
      </w:r>
    </w:p>
    <w:p w14:paraId="60AAC2A1">
      <w:pPr>
        <w:pStyle w:val="98"/>
        <w:spacing w:before="120" w:after="120"/>
      </w:pPr>
      <w:bookmarkStart w:id="176" w:name="_Toc30254"/>
      <w:bookmarkStart w:id="177" w:name="_Toc3900"/>
      <w:r>
        <w:rPr>
          <w:rFonts w:hint="eastAsia"/>
        </w:rPr>
        <w:t>有序充电设备控制</w:t>
      </w:r>
      <w:bookmarkEnd w:id="176"/>
      <w:bookmarkEnd w:id="177"/>
    </w:p>
    <w:p w14:paraId="2070C7AC">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w:t>
      </w:r>
      <w:r>
        <w:rPr>
          <w:rFonts w:cs="Times New Roman"/>
          <w:sz w:val="21"/>
          <w:szCs w:val="21"/>
        </w:rPr>
        <w:t>管理终端</w:t>
      </w:r>
      <w:r>
        <w:rPr>
          <w:rFonts w:hint="eastAsia" w:cs="Times New Roman"/>
          <w:sz w:val="21"/>
          <w:szCs w:val="21"/>
        </w:rPr>
        <w:t>应根据自主生成或接收有序充电管理平台下发的有序充电控制策略，控制有序充电设备对电动车进行充电。当</w:t>
      </w:r>
      <w:r>
        <w:rPr>
          <w:rFonts w:cs="Times New Roman"/>
          <w:sz w:val="21"/>
          <w:szCs w:val="21"/>
        </w:rPr>
        <w:t>有序充电管理终端与有序充电管理平台未连接或通信中断时，有序充电管理终端宜具备独立运行管理和控制等功能。</w:t>
      </w:r>
      <w:r>
        <w:rPr>
          <w:rFonts w:hint="eastAsia" w:cs="Times New Roman"/>
          <w:sz w:val="21"/>
          <w:szCs w:val="21"/>
        </w:rPr>
        <w:t>有序充电管理终端宜对所接入所有有序充电设备的充电策略执行情况进行统计核实，并将执行情况反馈上报至有序充电管理平台或相关系统。</w:t>
      </w:r>
    </w:p>
    <w:p w14:paraId="18EB58BF">
      <w:pPr>
        <w:pStyle w:val="98"/>
        <w:spacing w:before="120" w:after="120"/>
      </w:pPr>
      <w:bookmarkStart w:id="178" w:name="_Toc4172"/>
      <w:bookmarkStart w:id="179" w:name="_Toc30495"/>
      <w:r>
        <w:rPr>
          <w:rFonts w:hint="eastAsia"/>
        </w:rPr>
        <w:t>故障告警</w:t>
      </w:r>
      <w:bookmarkEnd w:id="178"/>
      <w:bookmarkEnd w:id="179"/>
    </w:p>
    <w:p w14:paraId="2B1C3C6A">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有序充电管理终端应具备故障告警功能，当出现通信异常、台区过载、电动汽车车载电池供电过欠压、充电站供电缺相等异常或故障时，应及时发出告警信号，记录告警事件并上报。</w:t>
      </w:r>
    </w:p>
    <w:p w14:paraId="5A66E491">
      <w:pPr>
        <w:pStyle w:val="76"/>
        <w:spacing w:before="240" w:after="240"/>
      </w:pPr>
      <w:bookmarkStart w:id="180" w:name="_Toc21954"/>
      <w:bookmarkStart w:id="181" w:name="_Toc30150"/>
      <w:bookmarkStart w:id="182" w:name="_Toc9074"/>
      <w:bookmarkStart w:id="183" w:name="_Toc8257"/>
      <w:r>
        <w:rPr>
          <w:rFonts w:hint="eastAsia"/>
        </w:rPr>
        <w:t>充电运营管理平台</w:t>
      </w:r>
      <w:bookmarkEnd w:id="180"/>
      <w:r>
        <w:rPr>
          <w:rFonts w:hint="eastAsia"/>
        </w:rPr>
        <w:t>技术要求</w:t>
      </w:r>
      <w:bookmarkEnd w:id="181"/>
      <w:bookmarkEnd w:id="182"/>
      <w:bookmarkEnd w:id="183"/>
    </w:p>
    <w:p w14:paraId="65D79C2A">
      <w:pPr>
        <w:pStyle w:val="98"/>
        <w:spacing w:before="120" w:after="120"/>
      </w:pPr>
      <w:bookmarkStart w:id="184" w:name="_Toc13219"/>
      <w:r>
        <w:rPr>
          <w:rFonts w:hint="eastAsia"/>
        </w:rPr>
        <w:t>计费管理</w:t>
      </w:r>
      <w:bookmarkEnd w:id="184"/>
    </w:p>
    <w:p w14:paraId="478FE800">
      <w:pPr>
        <w:pStyle w:val="34"/>
        <w:spacing w:before="120" w:after="120"/>
        <w:ind w:firstLine="420"/>
        <w:rPr>
          <w:sz w:val="21"/>
          <w:szCs w:val="21"/>
        </w:rPr>
      </w:pPr>
      <w:r>
        <w:rPr>
          <w:rFonts w:hint="eastAsia"/>
          <w:sz w:val="21"/>
          <w:szCs w:val="21"/>
        </w:rPr>
        <w:t>充电运营管理平台应制定电动汽车充电计费模型，根据客户充电业务计量数据、计费模型和优惠策略计算充电费用，并可对充电站价格进行动态修改。</w:t>
      </w:r>
    </w:p>
    <w:p w14:paraId="6B009BB6">
      <w:pPr>
        <w:pStyle w:val="98"/>
        <w:spacing w:before="120" w:after="120"/>
      </w:pPr>
      <w:bookmarkStart w:id="185" w:name="_Toc4645"/>
      <w:r>
        <w:rPr>
          <w:rFonts w:hint="eastAsia"/>
        </w:rPr>
        <w:t>用户账户管理</w:t>
      </w:r>
      <w:bookmarkEnd w:id="185"/>
    </w:p>
    <w:p w14:paraId="45B256A4">
      <w:pPr>
        <w:pStyle w:val="34"/>
        <w:spacing w:before="120" w:after="120"/>
        <w:ind w:firstLine="420"/>
        <w:rPr>
          <w:sz w:val="21"/>
          <w:szCs w:val="21"/>
        </w:rPr>
      </w:pPr>
      <w:r>
        <w:rPr>
          <w:rFonts w:hint="eastAsia"/>
          <w:sz w:val="21"/>
          <w:szCs w:val="21"/>
        </w:rPr>
        <w:t>充电运营管理平台应具备个人账户和企业账户的管理功能，可用于个人账户和企业账户充值、退款、财务记账以及充电费用的结算等。</w:t>
      </w:r>
    </w:p>
    <w:p w14:paraId="57127774">
      <w:pPr>
        <w:pStyle w:val="98"/>
        <w:spacing w:before="120" w:after="120"/>
      </w:pPr>
      <w:bookmarkStart w:id="186" w:name="_Toc17763"/>
      <w:r>
        <w:rPr>
          <w:rFonts w:hint="eastAsia"/>
        </w:rPr>
        <w:t>充电订单管理</w:t>
      </w:r>
      <w:bookmarkEnd w:id="186"/>
    </w:p>
    <w:p w14:paraId="7E9AF610">
      <w:pPr>
        <w:pStyle w:val="34"/>
        <w:spacing w:before="120" w:after="120"/>
        <w:ind w:firstLine="420"/>
        <w:rPr>
          <w:sz w:val="21"/>
          <w:szCs w:val="21"/>
        </w:rPr>
      </w:pPr>
      <w:r>
        <w:rPr>
          <w:rFonts w:hint="eastAsia"/>
          <w:sz w:val="21"/>
          <w:szCs w:val="21"/>
        </w:rPr>
        <w:t>充电运营管理平台应具备充电订单管理功能，包括但不限于：</w:t>
      </w:r>
    </w:p>
    <w:p w14:paraId="359778A6">
      <w:pPr>
        <w:pStyle w:val="41"/>
        <w:numPr>
          <w:ilvl w:val="0"/>
          <w:numId w:val="26"/>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统计查询所有充电订单信息，包括充电中的订单和已完成的订单；</w:t>
      </w:r>
    </w:p>
    <w:p w14:paraId="0BEAFAB6">
      <w:pPr>
        <w:pStyle w:val="41"/>
        <w:numPr>
          <w:ilvl w:val="255"/>
          <w:numId w:val="0"/>
        </w:numPr>
        <w:spacing w:before="0" w:beforeAutospacing="0" w:after="0" w:afterAutospacing="0"/>
        <w:ind w:firstLine="420" w:firstLineChars="200"/>
        <w:jc w:val="both"/>
        <w:rPr>
          <w:rFonts w:cs="Times New Roman"/>
          <w:sz w:val="21"/>
          <w:szCs w:val="21"/>
        </w:rPr>
      </w:pPr>
      <w:r>
        <w:rPr>
          <w:rFonts w:hint="eastAsia" w:cs="Times New Roman"/>
          <w:sz w:val="21"/>
          <w:szCs w:val="21"/>
        </w:rPr>
        <w:t>订单信息宜包括订单编号、订单状态、设备信息、用户信息、总充电量、电费、充电服务费、订单开始时间和结束时间，以及每一个充电定价时间段内的充电量、电费、充电服务费的详细情况等信息。</w:t>
      </w:r>
    </w:p>
    <w:p w14:paraId="24160380">
      <w:pPr>
        <w:pStyle w:val="41"/>
        <w:numPr>
          <w:ilvl w:val="0"/>
          <w:numId w:val="26"/>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异常订单筛选功能。</w:t>
      </w:r>
    </w:p>
    <w:p w14:paraId="46FE55D1">
      <w:pPr>
        <w:pStyle w:val="98"/>
        <w:spacing w:before="120" w:after="120"/>
      </w:pPr>
      <w:bookmarkStart w:id="187" w:name="_Toc22988"/>
      <w:r>
        <w:rPr>
          <w:rFonts w:hint="eastAsia"/>
        </w:rPr>
        <w:t>客户移动应用</w:t>
      </w:r>
      <w:bookmarkEnd w:id="187"/>
    </w:p>
    <w:p w14:paraId="75B35084">
      <w:pPr>
        <w:pStyle w:val="34"/>
        <w:spacing w:before="120" w:after="120"/>
        <w:ind w:firstLine="420"/>
        <w:rPr>
          <w:sz w:val="21"/>
          <w:szCs w:val="21"/>
        </w:rPr>
      </w:pPr>
      <w:r>
        <w:rPr>
          <w:rFonts w:hint="eastAsia"/>
          <w:sz w:val="21"/>
          <w:szCs w:val="21"/>
        </w:rPr>
        <w:t>充电运营管理平台应具备 APP、小程序等客户移动应用功能，包括但不限于：</w:t>
      </w:r>
    </w:p>
    <w:p w14:paraId="70443582">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支持客户自行注册账户；</w:t>
      </w:r>
    </w:p>
    <w:p w14:paraId="5639CDF0">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支持客户自主选择有序充电业务的开通、变更等服务请求；</w:t>
      </w:r>
    </w:p>
    <w:p w14:paraId="72F22F73">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支持客户查找并导航到充电站；</w:t>
      </w:r>
    </w:p>
    <w:p w14:paraId="63F3F9C5">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支持充电订单发票开具功能；</w:t>
      </w:r>
    </w:p>
    <w:p w14:paraId="3FBCA87A">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提供充电站基础信息与充电定价查询；</w:t>
      </w:r>
    </w:p>
    <w:p w14:paraId="1585E782">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控制充电设备实现车辆的充电；</w:t>
      </w:r>
    </w:p>
    <w:p w14:paraId="01917181">
      <w:pPr>
        <w:pStyle w:val="41"/>
        <w:numPr>
          <w:ilvl w:val="0"/>
          <w:numId w:val="27"/>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监控充电桩与车辆的充电状态。</w:t>
      </w:r>
    </w:p>
    <w:p w14:paraId="51D0C8E8">
      <w:pPr>
        <w:pStyle w:val="98"/>
        <w:spacing w:before="120" w:after="120"/>
      </w:pPr>
      <w:bookmarkStart w:id="188" w:name="_Toc724"/>
      <w:r>
        <w:rPr>
          <w:rFonts w:hint="eastAsia"/>
        </w:rPr>
        <w:t>云云对接</w:t>
      </w:r>
      <w:bookmarkEnd w:id="188"/>
    </w:p>
    <w:p w14:paraId="285A18BA">
      <w:pPr>
        <w:pStyle w:val="34"/>
        <w:spacing w:before="120" w:after="120"/>
        <w:ind w:firstLine="420"/>
        <w:rPr>
          <w:sz w:val="21"/>
          <w:szCs w:val="21"/>
        </w:rPr>
      </w:pPr>
      <w:r>
        <w:rPr>
          <w:rFonts w:hint="eastAsia"/>
          <w:sz w:val="21"/>
          <w:szCs w:val="21"/>
        </w:rPr>
        <w:t>充电运营管理平台宜具备与有序充电管理平台云云对接功能，对接方式和协议可由双方确定。可将所接入有序充电设备的充电状态、电动汽车充电信息数据及有序充电策略等信息交互给有序充电管理平台，亦可接受有序充电管理平台下发的全局有序充电策略，满足多个低压台区有序充电协同需求。</w:t>
      </w:r>
    </w:p>
    <w:p w14:paraId="5E2DD677">
      <w:pPr>
        <w:pStyle w:val="76"/>
        <w:spacing w:before="240" w:after="240"/>
      </w:pPr>
      <w:bookmarkStart w:id="189" w:name="_Toc31514"/>
      <w:bookmarkStart w:id="190" w:name="_Toc12181"/>
      <w:bookmarkStart w:id="191" w:name="_Toc9474"/>
      <w:bookmarkStart w:id="192" w:name="_Toc17123"/>
      <w:bookmarkStart w:id="193" w:name="_Toc11952"/>
      <w:r>
        <w:rPr>
          <w:rFonts w:hint="eastAsia"/>
        </w:rPr>
        <w:t>有序充电管理平台技术要求</w:t>
      </w:r>
      <w:bookmarkEnd w:id="189"/>
      <w:bookmarkEnd w:id="190"/>
      <w:bookmarkEnd w:id="191"/>
      <w:bookmarkEnd w:id="192"/>
      <w:bookmarkEnd w:id="193"/>
    </w:p>
    <w:p w14:paraId="29A3F049">
      <w:pPr>
        <w:pStyle w:val="98"/>
        <w:spacing w:before="120" w:after="120"/>
      </w:pPr>
      <w:bookmarkStart w:id="194" w:name="_Toc18286"/>
      <w:bookmarkStart w:id="195" w:name="_Toc3719"/>
      <w:r>
        <w:rPr>
          <w:rFonts w:hint="eastAsia"/>
        </w:rPr>
        <w:t>信息采集</w:t>
      </w:r>
      <w:bookmarkEnd w:id="194"/>
      <w:bookmarkEnd w:id="195"/>
    </w:p>
    <w:p w14:paraId="0A9FAD6F">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有序充电管理平台应采集有序充电管理终端或有序充电设备的基础数据、设备数据、业务数据等。</w:t>
      </w:r>
    </w:p>
    <w:p w14:paraId="38035B8B">
      <w:pPr>
        <w:pStyle w:val="98"/>
        <w:spacing w:before="120" w:after="120"/>
      </w:pPr>
      <w:bookmarkStart w:id="196" w:name="_Toc18708"/>
      <w:r>
        <w:rPr>
          <w:rFonts w:hint="eastAsia"/>
        </w:rPr>
        <w:t>数据交互</w:t>
      </w:r>
      <w:bookmarkEnd w:id="196"/>
    </w:p>
    <w:p w14:paraId="09235296">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有序充电管理平台的数据交互内容包含但不限于以下三类数据：</w:t>
      </w:r>
    </w:p>
    <w:p w14:paraId="46573468">
      <w:pPr>
        <w:pStyle w:val="41"/>
        <w:numPr>
          <w:ilvl w:val="0"/>
          <w:numId w:val="28"/>
        </w:numPr>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基础数据：包括有序充电设备名称、地址、归属户号、归属台区号等档案数据，以及有序充电设备额定容量/功率数据；</w:t>
      </w:r>
    </w:p>
    <w:p w14:paraId="52D0C34B">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b） 设备数据：包括有序充电设备实时工作状态、充电负荷数据设备实时工作状态和工作参数数据；</w:t>
      </w:r>
    </w:p>
    <w:p w14:paraId="3930CCF0">
      <w:pPr>
        <w:pStyle w:val="41"/>
        <w:autoSpaceDE w:val="0"/>
        <w:autoSpaceDN w:val="0"/>
        <w:spacing w:before="0" w:beforeAutospacing="0" w:after="0" w:afterAutospacing="0"/>
        <w:ind w:firstLine="420" w:firstLineChars="200"/>
        <w:jc w:val="both"/>
      </w:pPr>
      <w:r>
        <w:rPr>
          <w:rFonts w:hint="eastAsia" w:cs="Times New Roman"/>
          <w:sz w:val="21"/>
          <w:szCs w:val="21"/>
        </w:rPr>
        <w:t>c） 业务数据：包括台区负荷曲线、实际负荷曲线、充电业务数据、有序充电策略等上下行交互过程数据。</w:t>
      </w:r>
    </w:p>
    <w:p w14:paraId="7F98F4BE">
      <w:pPr>
        <w:pStyle w:val="98"/>
        <w:spacing w:before="120" w:after="120"/>
      </w:pPr>
      <w:bookmarkStart w:id="197" w:name="_Toc15873"/>
      <w:r>
        <w:rPr>
          <w:rFonts w:hint="eastAsia"/>
        </w:rPr>
        <w:t>可用性</w:t>
      </w:r>
      <w:bookmarkEnd w:id="197"/>
    </w:p>
    <w:p w14:paraId="26E74788">
      <w:pPr>
        <w:pStyle w:val="34"/>
        <w:spacing w:before="120" w:after="120"/>
        <w:ind w:firstLine="420"/>
      </w:pPr>
      <w:r>
        <w:rPr>
          <w:rFonts w:hint="eastAsia"/>
          <w:sz w:val="21"/>
          <w:szCs w:val="21"/>
        </w:rPr>
        <w:t>有序充电管理平台可用性应满足应符合NB/T 11305.2-2023中第6.2条的相关要求</w:t>
      </w:r>
      <w:r>
        <w:rPr>
          <w:rFonts w:hint="eastAsia"/>
        </w:rPr>
        <w:t>。</w:t>
      </w:r>
    </w:p>
    <w:p w14:paraId="6F6917B9">
      <w:pPr>
        <w:pStyle w:val="98"/>
        <w:spacing w:before="120" w:after="120"/>
      </w:pPr>
      <w:bookmarkStart w:id="198" w:name="_Toc14993"/>
      <w:bookmarkStart w:id="199" w:name="_Toc21931"/>
      <w:r>
        <w:rPr>
          <w:rFonts w:hint="eastAsia"/>
        </w:rPr>
        <w:t>有序充电策略生成</w:t>
      </w:r>
      <w:bookmarkEnd w:id="198"/>
      <w:bookmarkEnd w:id="199"/>
    </w:p>
    <w:p w14:paraId="53463E70">
      <w:pPr>
        <w:pStyle w:val="41"/>
        <w:numPr>
          <w:ilvl w:val="255"/>
          <w:numId w:val="0"/>
        </w:numPr>
        <w:spacing w:before="0" w:beforeAutospacing="0" w:after="0" w:afterAutospacing="0"/>
        <w:ind w:firstLine="420" w:firstLineChars="200"/>
        <w:jc w:val="both"/>
        <w:rPr>
          <w:rFonts w:cs="Times New Roman"/>
          <w:sz w:val="21"/>
          <w:szCs w:val="21"/>
        </w:rPr>
      </w:pPr>
      <w:r>
        <w:rPr>
          <w:rFonts w:hint="eastAsia" w:cs="Times New Roman"/>
          <w:sz w:val="21"/>
          <w:szCs w:val="21"/>
        </w:rPr>
        <w:t>当低压台区无有序充电管理终端时，有序充电管理平台应根据配电变压器用电负荷数据、有序充电桩充电状态、电动汽车充电信息数据等</w:t>
      </w:r>
      <w:r>
        <w:rPr>
          <w:rFonts w:hint="eastAsia"/>
        </w:rPr>
        <w:t>，</w:t>
      </w:r>
      <w:r>
        <w:rPr>
          <w:rFonts w:hint="eastAsia" w:cs="Times New Roman"/>
          <w:sz w:val="21"/>
          <w:szCs w:val="21"/>
        </w:rPr>
        <w:t>基于预先设定的优化目标及计算步长，自动计算生成有序充电策略。</w:t>
      </w:r>
    </w:p>
    <w:p w14:paraId="235120E1">
      <w:pPr>
        <w:pStyle w:val="41"/>
        <w:numPr>
          <w:ilvl w:val="255"/>
          <w:numId w:val="0"/>
        </w:numPr>
        <w:spacing w:before="0" w:beforeAutospacing="0" w:after="0" w:afterAutospacing="0"/>
        <w:ind w:firstLine="420" w:firstLineChars="200"/>
        <w:jc w:val="both"/>
      </w:pPr>
      <w:r>
        <w:rPr>
          <w:rFonts w:hint="eastAsia" w:cs="Times New Roman"/>
          <w:sz w:val="21"/>
          <w:szCs w:val="21"/>
        </w:rPr>
        <w:t>有序充电管理平台可汇聚多个低压台区的配电变压器用电负荷数据、有序充电桩充电状态、电动汽车充电信息数据及有序充电策略等，进行有序充电策略全局优化，滚动优化各个台区有序充电策略，并重新下发给相应有序充电设备执行，以实现多个低压台区协同调控。</w:t>
      </w:r>
    </w:p>
    <w:p w14:paraId="62B36115">
      <w:pPr>
        <w:pStyle w:val="98"/>
        <w:spacing w:before="120" w:after="120"/>
      </w:pPr>
      <w:bookmarkStart w:id="200" w:name="_Toc6153"/>
      <w:r>
        <w:rPr>
          <w:rFonts w:hint="eastAsia"/>
        </w:rPr>
        <w:t>响应时间</w:t>
      </w:r>
      <w:bookmarkEnd w:id="200"/>
    </w:p>
    <w:p w14:paraId="05647B86">
      <w:pPr>
        <w:pStyle w:val="34"/>
        <w:spacing w:before="120" w:after="120"/>
        <w:ind w:firstLine="420"/>
        <w:rPr>
          <w:sz w:val="21"/>
          <w:szCs w:val="21"/>
        </w:rPr>
      </w:pPr>
      <w:r>
        <w:rPr>
          <w:rFonts w:hint="eastAsia"/>
          <w:sz w:val="21"/>
          <w:szCs w:val="21"/>
        </w:rPr>
        <w:t>有序充电管理平台的响应时间应符合NB/T 11305.2-2023中第6.1条的相关要求。</w:t>
      </w:r>
    </w:p>
    <w:p w14:paraId="27CD5BAC">
      <w:pPr>
        <w:pStyle w:val="98"/>
        <w:spacing w:before="120" w:after="120"/>
      </w:pPr>
      <w:bookmarkStart w:id="201" w:name="_Toc5782"/>
      <w:bookmarkStart w:id="202" w:name="_Toc4082"/>
      <w:r>
        <w:rPr>
          <w:rFonts w:hint="eastAsia"/>
        </w:rPr>
        <w:t>第三方系统对接</w:t>
      </w:r>
      <w:bookmarkEnd w:id="201"/>
      <w:bookmarkEnd w:id="202"/>
    </w:p>
    <w:p w14:paraId="389ECCE0">
      <w:pPr>
        <w:pStyle w:val="34"/>
        <w:spacing w:before="120" w:after="120"/>
        <w:ind w:firstLine="420"/>
        <w:rPr>
          <w:sz w:val="21"/>
          <w:szCs w:val="21"/>
        </w:rPr>
      </w:pPr>
      <w:r>
        <w:rPr>
          <w:rFonts w:hint="eastAsia"/>
          <w:sz w:val="21"/>
          <w:szCs w:val="21"/>
        </w:rPr>
        <w:t>有序充电管理平台宜具备与电网企业的业务系统以及用户移动应用对接的数据交互能力。</w:t>
      </w:r>
    </w:p>
    <w:p w14:paraId="3F2631F8">
      <w:pPr>
        <w:pStyle w:val="98"/>
        <w:spacing w:before="120" w:after="120"/>
      </w:pPr>
      <w:bookmarkStart w:id="203" w:name="_Toc17066"/>
      <w:bookmarkStart w:id="204" w:name="_Toc25794"/>
      <w:r>
        <w:rPr>
          <w:rFonts w:hint="eastAsia"/>
        </w:rPr>
        <w:t>数据存储统计</w:t>
      </w:r>
      <w:bookmarkEnd w:id="203"/>
      <w:bookmarkEnd w:id="204"/>
    </w:p>
    <w:p w14:paraId="00993298">
      <w:pPr>
        <w:pStyle w:val="34"/>
        <w:spacing w:before="120" w:after="120"/>
        <w:ind w:firstLine="420"/>
        <w:rPr>
          <w:sz w:val="21"/>
          <w:szCs w:val="21"/>
        </w:rPr>
      </w:pPr>
      <w:r>
        <w:rPr>
          <w:rFonts w:hint="eastAsia"/>
          <w:sz w:val="21"/>
          <w:szCs w:val="21"/>
        </w:rPr>
        <w:t>有序充电管理平台可对各项信息数据进行存储归档，历史运行数据可追溯至少一个月。</w:t>
      </w:r>
    </w:p>
    <w:p w14:paraId="61037D18">
      <w:pPr>
        <w:pStyle w:val="98"/>
        <w:spacing w:before="120" w:after="120"/>
      </w:pPr>
      <w:bookmarkStart w:id="205" w:name="_Toc12467"/>
      <w:bookmarkStart w:id="206" w:name="_Toc18527"/>
      <w:r>
        <w:rPr>
          <w:rFonts w:hint="eastAsia"/>
        </w:rPr>
        <w:t>监视告警</w:t>
      </w:r>
      <w:bookmarkEnd w:id="205"/>
    </w:p>
    <w:p w14:paraId="7797CC87">
      <w:pPr>
        <w:pStyle w:val="41"/>
        <w:autoSpaceDE w:val="0"/>
        <w:autoSpaceDN w:val="0"/>
        <w:spacing w:before="0" w:beforeAutospacing="0" w:after="0" w:afterAutospacing="0"/>
        <w:ind w:firstLine="420" w:firstLineChars="200"/>
        <w:jc w:val="both"/>
        <w:rPr>
          <w:rFonts w:cs="Times New Roman"/>
          <w:sz w:val="21"/>
          <w:szCs w:val="21"/>
        </w:rPr>
      </w:pPr>
      <w:r>
        <w:rPr>
          <w:rFonts w:hint="eastAsia" w:cs="Times New Roman"/>
          <w:sz w:val="21"/>
          <w:szCs w:val="21"/>
        </w:rPr>
        <w:t>有序充电管理平台应监视有序充电管理终端、有序充电设备的运行状态，当发生异常时告警。</w:t>
      </w:r>
    </w:p>
    <w:p w14:paraId="0D46D06C">
      <w:pPr>
        <w:pStyle w:val="76"/>
        <w:spacing w:before="240" w:after="240"/>
      </w:pPr>
      <w:bookmarkStart w:id="207" w:name="_Toc31001"/>
      <w:bookmarkStart w:id="208" w:name="_Toc11703"/>
      <w:bookmarkStart w:id="209" w:name="_Toc13879"/>
      <w:bookmarkStart w:id="210" w:name="_Toc9229"/>
      <w:r>
        <w:rPr>
          <w:rFonts w:hint="eastAsia"/>
        </w:rPr>
        <w:t>信息安全</w:t>
      </w:r>
      <w:bookmarkEnd w:id="206"/>
      <w:bookmarkEnd w:id="207"/>
      <w:bookmarkEnd w:id="208"/>
      <w:bookmarkEnd w:id="209"/>
      <w:bookmarkEnd w:id="210"/>
    </w:p>
    <w:p w14:paraId="210686DF">
      <w:pPr>
        <w:pStyle w:val="34"/>
        <w:spacing w:before="120" w:after="120"/>
        <w:ind w:firstLine="420"/>
        <w:rPr>
          <w:sz w:val="21"/>
          <w:szCs w:val="21"/>
        </w:rPr>
      </w:pPr>
      <w:r>
        <w:rPr>
          <w:rFonts w:hint="eastAsia"/>
          <w:sz w:val="21"/>
          <w:szCs w:val="21"/>
        </w:rPr>
        <w:t>有序充电设备、充电运营管理平台的信息安全防护应符合NB/T 11305.2-2023第7章的要求，有序充电管理终端也应具备一定的信息安全防护手段，包含但不限于访问控制、口令认证、数据加密等。</w:t>
      </w:r>
    </w:p>
    <w:p w14:paraId="2CC9EC83">
      <w:pPr>
        <w:pStyle w:val="76"/>
        <w:numPr>
          <w:ilvl w:val="0"/>
          <w:numId w:val="0"/>
        </w:numPr>
        <w:spacing w:before="240" w:after="240"/>
        <w:jc w:val="center"/>
      </w:pPr>
      <w:bookmarkStart w:id="211" w:name="_Toc23842"/>
    </w:p>
    <w:p w14:paraId="05237C61">
      <w:pPr>
        <w:pStyle w:val="76"/>
        <w:numPr>
          <w:ilvl w:val="0"/>
          <w:numId w:val="0"/>
        </w:numPr>
        <w:spacing w:before="240" w:after="240"/>
        <w:jc w:val="center"/>
      </w:pPr>
    </w:p>
    <w:p w14:paraId="5DBE6B5F">
      <w:pPr>
        <w:pStyle w:val="76"/>
        <w:numPr>
          <w:ilvl w:val="0"/>
          <w:numId w:val="0"/>
        </w:numPr>
        <w:spacing w:before="240" w:after="240"/>
        <w:jc w:val="center"/>
      </w:pPr>
    </w:p>
    <w:p w14:paraId="5FC5C216">
      <w:pPr>
        <w:pStyle w:val="76"/>
        <w:numPr>
          <w:ilvl w:val="0"/>
          <w:numId w:val="0"/>
        </w:numPr>
        <w:spacing w:before="240" w:after="240"/>
        <w:jc w:val="center"/>
      </w:pPr>
    </w:p>
    <w:p w14:paraId="219E8756">
      <w:pPr>
        <w:pStyle w:val="76"/>
        <w:numPr>
          <w:ilvl w:val="0"/>
          <w:numId w:val="0"/>
        </w:numPr>
        <w:spacing w:before="240" w:after="240"/>
        <w:jc w:val="center"/>
      </w:pPr>
    </w:p>
    <w:p w14:paraId="6B7EBB5E">
      <w:pPr>
        <w:pStyle w:val="76"/>
        <w:numPr>
          <w:ilvl w:val="0"/>
          <w:numId w:val="0"/>
        </w:numPr>
        <w:spacing w:before="240" w:after="240"/>
        <w:jc w:val="center"/>
      </w:pPr>
    </w:p>
    <w:p w14:paraId="349FDFC6">
      <w:pPr>
        <w:pStyle w:val="76"/>
        <w:numPr>
          <w:ilvl w:val="0"/>
          <w:numId w:val="0"/>
        </w:numPr>
        <w:spacing w:before="240" w:after="240"/>
        <w:jc w:val="center"/>
      </w:pPr>
    </w:p>
    <w:bookmarkEnd w:id="211"/>
    <w:p w14:paraId="0525D1C8">
      <w:pPr>
        <w:pStyle w:val="177"/>
        <w:tabs>
          <w:tab w:val="clear" w:pos="360"/>
        </w:tabs>
      </w:pPr>
      <w:bookmarkStart w:id="212" w:name="_Toc30228"/>
      <w:bookmarkStart w:id="213" w:name="_Toc26740"/>
      <w:bookmarkStart w:id="214" w:name="_Toc13990"/>
      <w:bookmarkStart w:id="215" w:name="_Toc29811"/>
      <w:bookmarkStart w:id="216" w:name="_Toc22559"/>
      <w:bookmarkStart w:id="217" w:name="_Toc2343"/>
      <w:bookmarkStart w:id="218" w:name="_Toc32556"/>
      <w:r>
        <w:rPr>
          <w:rFonts w:hint="eastAsia"/>
        </w:rPr>
        <w:br w:type="textWrapping"/>
      </w:r>
      <w:r>
        <w:rPr>
          <w:rFonts w:hint="eastAsia"/>
        </w:rPr>
        <w:t>（资料性）</w:t>
      </w:r>
      <w:r>
        <w:rPr>
          <w:rFonts w:hint="eastAsia"/>
        </w:rPr>
        <w:br w:type="textWrapping"/>
      </w:r>
      <w:bookmarkEnd w:id="212"/>
      <w:bookmarkEnd w:id="213"/>
      <w:bookmarkEnd w:id="214"/>
      <w:bookmarkEnd w:id="215"/>
      <w:bookmarkEnd w:id="216"/>
      <w:bookmarkEnd w:id="217"/>
      <w:r>
        <w:rPr>
          <w:rFonts w:hint="eastAsia"/>
        </w:rPr>
        <w:t>有序充电系统架构框图</w:t>
      </w:r>
      <w:bookmarkEnd w:id="218"/>
    </w:p>
    <w:p w14:paraId="02F681D6">
      <w:pPr>
        <w:pStyle w:val="34"/>
        <w:autoSpaceDE/>
        <w:autoSpaceDN/>
        <w:spacing w:before="0" w:beforeLines="0" w:after="0" w:afterLines="0"/>
        <w:ind w:firstLine="420"/>
        <w:jc w:val="left"/>
        <w:rPr>
          <w:rFonts w:ascii="黑体" w:hAnsi="黑体" w:eastAsia="黑体" w:cs="黑体"/>
          <w:sz w:val="21"/>
          <w:szCs w:val="21"/>
        </w:rPr>
      </w:pPr>
      <w:r>
        <w:rPr>
          <w:rFonts w:hint="eastAsia" w:ascii="黑体" w:hAnsi="黑体" w:eastAsia="黑体" w:cs="黑体"/>
          <w:sz w:val="21"/>
          <w:szCs w:val="21"/>
        </w:rPr>
        <w:t>A.1 充电设备直连管理平台模式</w:t>
      </w:r>
    </w:p>
    <w:p w14:paraId="690FA7CE">
      <w:pPr>
        <w:pStyle w:val="34"/>
        <w:autoSpaceDE/>
        <w:autoSpaceDN/>
        <w:spacing w:before="0" w:beforeLines="0" w:after="0" w:afterLines="0"/>
        <w:ind w:firstLine="420"/>
        <w:jc w:val="left"/>
        <w:rPr>
          <w:sz w:val="21"/>
          <w:szCs w:val="21"/>
        </w:rPr>
      </w:pPr>
      <w:r>
        <w:rPr>
          <w:rFonts w:hint="eastAsia"/>
          <w:sz w:val="21"/>
          <w:szCs w:val="21"/>
        </w:rPr>
        <w:t>有序充电管理平台生成有序充电控制策略，直接控制有序充电设备的充电启停、充电功率、充电时段，并监视有序充电设备执行状态。有序充电设备与电动汽车通信，执行有序充电控制策略。用户可通过用户移动应用向有序充电管理系统提交充电需求并与电动汽车进行交互。有序充电管理平台宜与电网调度交易系统、电力负荷管理系统等电网企业业务系统数据交互。</w:t>
      </w:r>
    </w:p>
    <w:p w14:paraId="790830BF">
      <w:pPr>
        <w:pStyle w:val="34"/>
        <w:autoSpaceDE/>
        <w:autoSpaceDN/>
        <w:spacing w:before="0" w:beforeLines="0" w:after="0" w:afterLines="0"/>
        <w:ind w:firstLine="480"/>
        <w:jc w:val="center"/>
      </w:pPr>
      <w:r>
        <w:drawing>
          <wp:inline distT="0" distB="0" distL="114300" distR="114300">
            <wp:extent cx="4267200" cy="2771140"/>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2"/>
                    <a:stretch>
                      <a:fillRect/>
                    </a:stretch>
                  </pic:blipFill>
                  <pic:spPr>
                    <a:xfrm>
                      <a:off x="0" y="0"/>
                      <a:ext cx="4267200" cy="2771140"/>
                    </a:xfrm>
                    <a:prstGeom prst="rect">
                      <a:avLst/>
                    </a:prstGeom>
                    <a:noFill/>
                    <a:ln>
                      <a:noFill/>
                    </a:ln>
                  </pic:spPr>
                </pic:pic>
              </a:graphicData>
            </a:graphic>
          </wp:inline>
        </w:drawing>
      </w:r>
    </w:p>
    <w:p w14:paraId="171C119C">
      <w:pPr>
        <w:pStyle w:val="34"/>
        <w:autoSpaceDE/>
        <w:autoSpaceDN/>
        <w:spacing w:before="0" w:beforeLines="0" w:after="0" w:afterLines="0"/>
        <w:ind w:firstLine="420"/>
        <w:jc w:val="center"/>
        <w:rPr>
          <w:rFonts w:ascii="黑体" w:hAnsi="黑体" w:eastAsia="黑体" w:cs="黑体"/>
          <w:sz w:val="21"/>
          <w:szCs w:val="21"/>
        </w:rPr>
      </w:pPr>
      <w:r>
        <w:rPr>
          <w:rFonts w:hint="eastAsia" w:ascii="黑体" w:hAnsi="黑体" w:eastAsia="黑体" w:cs="黑体"/>
          <w:sz w:val="21"/>
          <w:szCs w:val="21"/>
        </w:rPr>
        <w:t>图 A.1 充电设备直连管理平台模式系统架构框图</w:t>
      </w:r>
    </w:p>
    <w:p w14:paraId="3B611402">
      <w:pPr>
        <w:pStyle w:val="34"/>
        <w:autoSpaceDE/>
        <w:autoSpaceDN/>
        <w:spacing w:before="0" w:beforeLines="0" w:after="0" w:afterLines="0"/>
        <w:ind w:firstLine="420"/>
        <w:jc w:val="left"/>
        <w:rPr>
          <w:rFonts w:ascii="黑体" w:hAnsi="黑体" w:eastAsia="黑体" w:cs="黑体"/>
          <w:sz w:val="21"/>
          <w:szCs w:val="21"/>
        </w:rPr>
      </w:pPr>
      <w:r>
        <w:rPr>
          <w:rFonts w:hint="eastAsia" w:ascii="黑体" w:hAnsi="黑体" w:eastAsia="黑体" w:cs="黑体"/>
          <w:sz w:val="21"/>
          <w:szCs w:val="21"/>
        </w:rPr>
        <w:t>A.2 充电设备通过管理终端连接管理平台模式</w:t>
      </w:r>
    </w:p>
    <w:p w14:paraId="5A114223">
      <w:pPr>
        <w:pStyle w:val="34"/>
        <w:autoSpaceDE/>
        <w:autoSpaceDN/>
        <w:spacing w:before="0" w:beforeLines="0" w:after="0" w:afterLines="0"/>
        <w:ind w:firstLine="420"/>
        <w:jc w:val="left"/>
        <w:rPr>
          <w:sz w:val="21"/>
          <w:szCs w:val="21"/>
        </w:rPr>
      </w:pPr>
      <w:r>
        <w:rPr>
          <w:rFonts w:hint="eastAsia"/>
          <w:sz w:val="21"/>
          <w:szCs w:val="21"/>
        </w:rPr>
        <w:t>有序充电管理平台生成有序充电控制策略，下发至有序充电管理终端，并监视有序充电管理终端执行状态。有序充电管理终端接收有序充电管理平台生成的有序充电控制策略，下发至有序充电设备，控制有序充电设备的充电启停、充电功率、充电时段，并监视有序充电设备执行状态。有序充电设备与电动汽车通信，执行有序充电控制策略。用户可通过用户移动应用向有序充电管理系统提交充电需求并与电动汽车进行交互。有序充电管理平台宜与电网调度交易系统、电力负荷管理系统等电网企业业务系统数据交互。</w:t>
      </w:r>
    </w:p>
    <w:p w14:paraId="2FD80069">
      <w:pPr>
        <w:pStyle w:val="34"/>
        <w:autoSpaceDE/>
        <w:autoSpaceDN/>
        <w:spacing w:before="0" w:beforeLines="0" w:after="0" w:afterLines="0"/>
        <w:ind w:firstLine="480"/>
        <w:jc w:val="center"/>
      </w:pPr>
      <w:r>
        <w:drawing>
          <wp:inline distT="0" distB="0" distL="114300" distR="114300">
            <wp:extent cx="4351655" cy="2826385"/>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3"/>
                    <a:stretch>
                      <a:fillRect/>
                    </a:stretch>
                  </pic:blipFill>
                  <pic:spPr>
                    <a:xfrm>
                      <a:off x="0" y="0"/>
                      <a:ext cx="4351655" cy="2826385"/>
                    </a:xfrm>
                    <a:prstGeom prst="rect">
                      <a:avLst/>
                    </a:prstGeom>
                    <a:noFill/>
                    <a:ln>
                      <a:noFill/>
                    </a:ln>
                  </pic:spPr>
                </pic:pic>
              </a:graphicData>
            </a:graphic>
          </wp:inline>
        </w:drawing>
      </w:r>
    </w:p>
    <w:p w14:paraId="1A5E6332">
      <w:pPr>
        <w:pStyle w:val="34"/>
        <w:autoSpaceDE/>
        <w:autoSpaceDN/>
        <w:spacing w:before="0" w:beforeLines="0" w:after="0" w:afterLines="0"/>
        <w:ind w:firstLine="420"/>
        <w:jc w:val="center"/>
        <w:rPr>
          <w:rFonts w:ascii="黑体" w:hAnsi="黑体" w:eastAsia="黑体" w:cs="黑体"/>
          <w:sz w:val="21"/>
          <w:szCs w:val="21"/>
        </w:rPr>
      </w:pPr>
      <w:r>
        <w:rPr>
          <w:rFonts w:hint="eastAsia" w:ascii="黑体" w:hAnsi="黑体" w:eastAsia="黑体" w:cs="黑体"/>
          <w:sz w:val="21"/>
          <w:szCs w:val="21"/>
        </w:rPr>
        <w:t xml:space="preserve">图 A.2充电设备通过管理终端连接管理平台模式系统架构框图 </w:t>
      </w:r>
    </w:p>
    <w:p w14:paraId="224DEC99">
      <w:r>
        <w:rPr>
          <w:rFonts w:hint="eastAsia" w:ascii="黑体" w:hAnsi="黑体" w:eastAsia="黑体" w:cs="黑体"/>
          <w:szCs w:val="21"/>
        </w:rPr>
        <w:br w:type="page"/>
      </w:r>
    </w:p>
    <w:p w14:paraId="07A8C7BA">
      <w:pPr>
        <w:pStyle w:val="34"/>
        <w:autoSpaceDE/>
        <w:autoSpaceDN/>
        <w:spacing w:before="0" w:beforeLines="0" w:after="0" w:afterLines="0"/>
        <w:ind w:firstLine="420"/>
        <w:jc w:val="left"/>
        <w:rPr>
          <w:rFonts w:ascii="黑体" w:hAnsi="黑体" w:eastAsia="黑体" w:cs="黑体"/>
          <w:sz w:val="21"/>
          <w:szCs w:val="21"/>
        </w:rPr>
      </w:pPr>
      <w:r>
        <w:rPr>
          <w:rFonts w:hint="eastAsia" w:ascii="黑体" w:hAnsi="黑体" w:eastAsia="黑体" w:cs="黑体"/>
          <w:sz w:val="21"/>
          <w:szCs w:val="21"/>
        </w:rPr>
        <w:t>A.3 充电设备通过运营平台连接管理平台模式</w:t>
      </w:r>
    </w:p>
    <w:p w14:paraId="048F4F49">
      <w:pPr>
        <w:pStyle w:val="34"/>
        <w:autoSpaceDE/>
        <w:autoSpaceDN/>
        <w:spacing w:before="0" w:beforeLines="0" w:after="0" w:afterLines="0"/>
        <w:ind w:firstLine="420"/>
        <w:jc w:val="left"/>
        <w:rPr>
          <w:sz w:val="21"/>
          <w:szCs w:val="21"/>
        </w:rPr>
      </w:pPr>
      <w:r>
        <w:rPr>
          <w:rFonts w:hint="eastAsia"/>
          <w:sz w:val="21"/>
          <w:szCs w:val="21"/>
        </w:rPr>
        <w:t>有序充电管理平台生成有序充电控制策略，通过云云对接下发至充电运营管理平台。充电运营管理平台可通过有序充电管理终端下发有序充电控制策略至有序充电设备，也可直接下发策略至有序充电设备，并监视有序充电管理终端及有序充电设备的运行状态。有序充电设备与电动汽车通信，执行有序充电控制策略。用户可通过用户移动应用向有序充电管理系统提交充电需求并与电动汽车进行交互。有序充电管理平台宜与电网调度交易系统、电力负荷管理系统等电网企业业务系统数据交互。</w:t>
      </w:r>
    </w:p>
    <w:p w14:paraId="27894A3A">
      <w:pPr>
        <w:pStyle w:val="34"/>
        <w:spacing w:before="120" w:after="120"/>
        <w:ind w:firstLine="0" w:firstLineChars="0"/>
        <w:jc w:val="center"/>
      </w:pPr>
      <w:r>
        <w:drawing>
          <wp:inline distT="0" distB="0" distL="114300" distR="114300">
            <wp:extent cx="4803140" cy="3279775"/>
            <wp:effectExtent l="0" t="0" r="1016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14"/>
                    <a:stretch>
                      <a:fillRect/>
                    </a:stretch>
                  </pic:blipFill>
                  <pic:spPr>
                    <a:xfrm>
                      <a:off x="0" y="0"/>
                      <a:ext cx="4803140" cy="3279775"/>
                    </a:xfrm>
                    <a:prstGeom prst="rect">
                      <a:avLst/>
                    </a:prstGeom>
                    <a:noFill/>
                    <a:ln>
                      <a:noFill/>
                    </a:ln>
                  </pic:spPr>
                </pic:pic>
              </a:graphicData>
            </a:graphic>
          </wp:inline>
        </w:drawing>
      </w:r>
    </w:p>
    <w:p w14:paraId="27D41E43">
      <w:pPr>
        <w:pStyle w:val="34"/>
        <w:autoSpaceDE/>
        <w:autoSpaceDN/>
        <w:spacing w:before="0" w:beforeLines="0" w:after="0" w:afterLines="0"/>
        <w:ind w:firstLine="420"/>
        <w:jc w:val="center"/>
        <w:rPr>
          <w:rFonts w:ascii="黑体" w:hAnsi="黑体" w:eastAsia="黑体" w:cs="黑体"/>
          <w:sz w:val="21"/>
          <w:szCs w:val="21"/>
        </w:rPr>
      </w:pPr>
      <w:r>
        <w:rPr>
          <w:rFonts w:hint="eastAsia" w:ascii="黑体" w:hAnsi="黑体" w:eastAsia="黑体" w:cs="黑体"/>
          <w:sz w:val="21"/>
          <w:szCs w:val="21"/>
        </w:rPr>
        <w:t>图A.3充电设备通过运营平台连接管理平台模式系统架构框图</w:t>
      </w:r>
    </w:p>
    <w:p w14:paraId="36F04800">
      <w:pPr>
        <w:pStyle w:val="34"/>
        <w:spacing w:before="120" w:after="120"/>
        <w:ind w:firstLine="0" w:firstLineChars="0"/>
        <w:rPr>
          <w:sz w:val="21"/>
          <w:szCs w:val="21"/>
        </w:rPr>
      </w:pPr>
    </w:p>
    <w:p w14:paraId="5B2161EB">
      <w:pPr>
        <w:pStyle w:val="34"/>
        <w:spacing w:before="120" w:after="120"/>
        <w:ind w:firstLine="0" w:firstLineChars="0"/>
      </w:pPr>
    </w:p>
    <w:p w14:paraId="1A07A11D">
      <w:pPr>
        <w:pStyle w:val="34"/>
        <w:spacing w:before="120" w:after="120"/>
        <w:ind w:firstLine="0" w:firstLineChars="0"/>
        <w:jc w:val="center"/>
        <w:rPr>
          <w:rFonts w:cs="宋体"/>
          <w:sz w:val="21"/>
        </w:rPr>
      </w:pPr>
      <w:bookmarkStart w:id="219" w:name="终结线"/>
      <w:bookmarkEnd w:id="219"/>
      <w:r>
        <w:rPr>
          <w:rFonts w:hint="eastAsia" w:ascii="黑体" w:hAnsi="黑体" w:eastAsia="黑体" w:cs="黑体"/>
          <w:b/>
          <w:sz w:val="21"/>
        </w:rPr>
        <w:t>━━━━━━━━━━━</w:t>
      </w:r>
    </w:p>
    <w:p w14:paraId="545B6142">
      <w:pPr>
        <w:pStyle w:val="34"/>
        <w:spacing w:before="120" w:after="120"/>
        <w:ind w:firstLine="0" w:firstLineChars="0"/>
        <w:jc w:val="center"/>
        <w:rPr>
          <w:rFonts w:cs="宋体"/>
          <w:sz w:val="21"/>
        </w:rPr>
      </w:pPr>
    </w:p>
    <w:p w14:paraId="52256746">
      <w:pPr>
        <w:pStyle w:val="34"/>
        <w:spacing w:before="120" w:after="120"/>
        <w:ind w:firstLine="0" w:firstLineChars="0"/>
        <w:jc w:val="center"/>
      </w:pPr>
    </w:p>
    <w:sectPr>
      <w:headerReference r:id="rId7" w:type="default"/>
      <w:footerReference r:id="rId9" w:type="default"/>
      <w:headerReference r:id="rId8" w:type="even"/>
      <w:footerReference r:id="rId10" w:type="even"/>
      <w:pgSz w:w="11907" w:h="16840"/>
      <w:pgMar w:top="1417" w:right="1134" w:bottom="1134" w:left="1417" w:header="1123" w:footer="1123" w:gutter="0"/>
      <w:pgNumType w:start="1"/>
      <w:cols w:space="720" w:num="1"/>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A83E4">
    <w:pPr>
      <w:pStyle w:val="2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D674AA">
                          <w:pPr>
                            <w:pStyle w:val="28"/>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EzJt8IBAACN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xMybfCAQAAjQMAAA4AAAAAAAAAAQAgAAAAHgEAAGRycy9lMm9Eb2MueG1sUEsF&#10;BgAAAAAGAAYAWQEAAFIFAAAAAA==&#10;">
              <v:fill on="f" focussize="0,0"/>
              <v:stroke on="f"/>
              <v:imagedata o:title=""/>
              <o:lock v:ext="edit" aspectratio="f"/>
              <v:textbox inset="0mm,0mm,0mm,0mm" style="mso-fit-shape-to-text:t;">
                <w:txbxContent>
                  <w:p w14:paraId="3BD674AA">
                    <w:pPr>
                      <w:pStyle w:val="2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C975F">
    <w:pPr>
      <w:pStyle w:val="18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B1F43B">
                          <w:pPr>
                            <w:pStyle w:val="180"/>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dTFj8EBAACO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JK4rjFiZ9//jj/ejw/fCdv&#10;sz59gBrT7gImpuG9HzB39gM6M+1BRZu/SIhgHKFOF3XlkIjIj1bL1arCkMDYfEF89vQ8REgfpLck&#10;Gw2NOL6iKj9+gjSmzim5mvO32pgyQuP+ciBm9rDc+9hjttKwGyZCO9+ekE+Pk2+ow0WnxHx0KCz2&#10;l2YjzsZuMnINCO8OCQuXfjLqCDUVwzEVRtNK5T34816ynn6jz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CdTFj8EBAACOAwAADgAAAAAAAAABACAAAAAeAQAAZHJzL2Uyb0RvYy54bWxQSwUG&#10;AAAAAAYABgBZAQAAUQUAAAAA&#10;">
              <v:fill on="f" focussize="0,0"/>
              <v:stroke on="f"/>
              <v:imagedata o:title=""/>
              <o:lock v:ext="edit" aspectratio="f"/>
              <v:textbox inset="0mm,0mm,0mm,0mm" style="mso-fit-shape-to-text:t;">
                <w:txbxContent>
                  <w:p w14:paraId="52B1F43B">
                    <w:pPr>
                      <w:pStyle w:val="18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351562"/>
    </w:sdtPr>
    <w:sdtContent>
      <w:p w14:paraId="39B4EC03">
        <w:pPr>
          <w:pStyle w:val="28"/>
        </w:pPr>
        <w:r>
          <w:fldChar w:fldCharType="begin"/>
        </w:r>
        <w:r>
          <w:instrText xml:space="preserve">PAGE   \* MERGEFORMAT</w:instrText>
        </w:r>
        <w:r>
          <w:fldChar w:fldCharType="separate"/>
        </w:r>
        <w:r>
          <w:rPr>
            <w:lang w:val="zh-CN"/>
          </w:rPr>
          <w:t>5</w:t>
        </w:r>
        <w:r>
          <w:fldChar w:fldCharType="end"/>
        </w:r>
      </w:p>
    </w:sdtContent>
  </w:sdt>
  <w:p w14:paraId="57B7C2F2">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0869593"/>
    </w:sdtPr>
    <w:sdtContent>
      <w:p w14:paraId="5993E0C7">
        <w:pPr>
          <w:pStyle w:val="28"/>
          <w:jc w:val="left"/>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923">
    <w:pPr>
      <w:pStyle w:val="181"/>
      <w:jc w:val="left"/>
    </w:pPr>
    <w:r>
      <w:t>DB32/T XXX—20</w:t>
    </w:r>
    <w:r>
      <w:rPr>
        <w:rFonts w:hint="eastAsia"/>
      </w:rPr>
      <w:t>26</w:t>
    </w:r>
  </w:p>
  <w:p w14:paraId="04C7B85B">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13A7">
    <w:pPr>
      <w:pStyle w:val="181"/>
    </w:pPr>
    <w:r>
      <w:t>DB32/T XXX—20</w:t>
    </w:r>
    <w:r>
      <w:rPr>
        <w:rFonts w:hint="eastAsia"/>
      </w:rPr>
      <w:t>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4E32E">
    <w:pPr>
      <w:pStyle w:val="181"/>
    </w:pPr>
    <w:r>
      <w:t>DB32/T XXX—20</w:t>
    </w:r>
    <w:r>
      <w:rPr>
        <w:rFonts w:hint="eastAsia"/>
      </w:rPr>
      <w:t>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77FB1">
    <w:pPr>
      <w:pStyle w:val="181"/>
      <w:jc w:val="left"/>
    </w:pPr>
    <w:r>
      <w:t>DB32/T XXX—20</w:t>
    </w:r>
    <w:r>
      <w:rPr>
        <w:rFonts w:hint="eastAsia"/>
      </w:rPr>
      <w:t>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BABCD"/>
    <w:multiLevelType w:val="singleLevel"/>
    <w:tmpl w:val="815BABCD"/>
    <w:lvl w:ilvl="0" w:tentative="0">
      <w:start w:val="1"/>
      <w:numFmt w:val="lowerLetter"/>
      <w:suff w:val="space"/>
      <w:lvlText w:val="%1)"/>
      <w:lvlJc w:val="left"/>
    </w:lvl>
  </w:abstractNum>
  <w:abstractNum w:abstractNumId="1">
    <w:nsid w:val="F44D95B8"/>
    <w:multiLevelType w:val="singleLevel"/>
    <w:tmpl w:val="F44D95B8"/>
    <w:lvl w:ilvl="0" w:tentative="0">
      <w:start w:val="1"/>
      <w:numFmt w:val="lowerLetter"/>
      <w:suff w:val="space"/>
      <w:lvlText w:val="%1）"/>
      <w:lvlJc w:val="left"/>
    </w:lvl>
  </w:abstractNum>
  <w:abstractNum w:abstractNumId="2">
    <w:nsid w:val="079102AD"/>
    <w:multiLevelType w:val="multilevel"/>
    <w:tmpl w:val="079102AD"/>
    <w:lvl w:ilvl="0" w:tentative="0">
      <w:start w:val="1"/>
      <w:numFmt w:val="decimal"/>
      <w:pStyle w:val="18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8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2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983844"/>
    <w:multiLevelType w:val="multilevel"/>
    <w:tmpl w:val="0D983844"/>
    <w:lvl w:ilvl="0" w:tentative="0">
      <w:start w:val="1"/>
      <w:numFmt w:val="decimal"/>
      <w:pStyle w:val="24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DDE2B46"/>
    <w:multiLevelType w:val="multilevel"/>
    <w:tmpl w:val="0DDE2B46"/>
    <w:lvl w:ilvl="0" w:tentative="0">
      <w:start w:val="1"/>
      <w:numFmt w:val="lowerLetter"/>
      <w:pStyle w:val="23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B735446"/>
    <w:multiLevelType w:val="multilevel"/>
    <w:tmpl w:val="1B735446"/>
    <w:lvl w:ilvl="0" w:tentative="0">
      <w:start w:val="1"/>
      <w:numFmt w:val="upperLetter"/>
      <w:pStyle w:val="1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9"/>
      <w:suff w:val="nothing"/>
      <w:lvlText w:val="%1.%2.%3　"/>
      <w:lvlJc w:val="left"/>
      <w:pPr>
        <w:ind w:left="0" w:firstLine="0"/>
      </w:pPr>
      <w:rPr>
        <w:rFonts w:hint="eastAsia" w:ascii="黑体" w:hAnsi="Times New Roman" w:eastAsia="黑体"/>
        <w:b w:val="0"/>
        <w:i w:val="0"/>
        <w:sz w:val="21"/>
      </w:rPr>
    </w:lvl>
    <w:lvl w:ilvl="3" w:tentative="0">
      <w:start w:val="1"/>
      <w:numFmt w:val="decimal"/>
      <w:pStyle w:val="112"/>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pStyle w:val="11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6" w:tentative="0">
      <w:start w:val="1"/>
      <w:numFmt w:val="decimal"/>
      <w:pStyle w:val="10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1DBF583A"/>
    <w:multiLevelType w:val="multilevel"/>
    <w:tmpl w:val="1DBF583A"/>
    <w:lvl w:ilvl="0" w:tentative="0">
      <w:start w:val="1"/>
      <w:numFmt w:val="decimal"/>
      <w:pStyle w:val="10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tentative="0">
      <w:start w:val="1"/>
      <w:numFmt w:val="decimal"/>
      <w:pStyle w:val="7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7"/>
      <w:suff w:val="nothing"/>
      <w:lvlText w:val="%1.%2.%3　"/>
      <w:lvlJc w:val="left"/>
      <w:pPr>
        <w:ind w:left="0" w:firstLine="0"/>
      </w:pPr>
      <w:rPr>
        <w:rFonts w:hint="eastAsia" w:ascii="黑体" w:hAnsi="Times New Roman" w:eastAsia="黑体"/>
        <w:b w:val="0"/>
        <w:i w:val="0"/>
        <w:sz w:val="21"/>
      </w:rPr>
    </w:lvl>
    <w:lvl w:ilvl="3" w:tentative="0">
      <w:start w:val="1"/>
      <w:numFmt w:val="decimal"/>
      <w:pStyle w:val="100"/>
      <w:suff w:val="nothing"/>
      <w:lvlText w:val="%1.%2.%3.%4　"/>
      <w:lvlJc w:val="left"/>
      <w:pPr>
        <w:ind w:left="1843"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7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2827D5B"/>
    <w:multiLevelType w:val="multilevel"/>
    <w:tmpl w:val="22827D5B"/>
    <w:lvl w:ilvl="0" w:tentative="0">
      <w:start w:val="1"/>
      <w:numFmt w:val="none"/>
      <w:pStyle w:val="1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2A8F7113"/>
    <w:multiLevelType w:val="multilevel"/>
    <w:tmpl w:val="2A8F7113"/>
    <w:lvl w:ilvl="0" w:tentative="0">
      <w:start w:val="1"/>
      <w:numFmt w:val="upperLetter"/>
      <w:pStyle w:val="197"/>
      <w:suff w:val="space"/>
      <w:lvlText w:val="%1"/>
      <w:lvlJc w:val="left"/>
      <w:pPr>
        <w:ind w:left="623" w:hanging="425"/>
      </w:pPr>
      <w:rPr>
        <w:rFonts w:hint="eastAsia"/>
      </w:rPr>
    </w:lvl>
    <w:lvl w:ilvl="1" w:tentative="0">
      <w:start w:val="1"/>
      <w:numFmt w:val="decimal"/>
      <w:pStyle w:val="19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2">
    <w:nsid w:val="2C527F97"/>
    <w:multiLevelType w:val="multilevel"/>
    <w:tmpl w:val="2C527F97"/>
    <w:lvl w:ilvl="0" w:tentative="0">
      <w:start w:val="1"/>
      <w:numFmt w:val="lowerLetter"/>
      <w:pStyle w:val="212"/>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C5917C3"/>
    <w:multiLevelType w:val="multilevel"/>
    <w:tmpl w:val="2C5917C3"/>
    <w:lvl w:ilvl="0" w:tentative="0">
      <w:start w:val="1"/>
      <w:numFmt w:val="none"/>
      <w:pStyle w:val="156"/>
      <w:suff w:val="nothing"/>
      <w:lvlText w:val="%1——"/>
      <w:lvlJc w:val="left"/>
      <w:pPr>
        <w:ind w:left="833" w:hanging="408"/>
      </w:pPr>
      <w:rPr>
        <w:rFonts w:hint="eastAsia"/>
      </w:rPr>
    </w:lvl>
    <w:lvl w:ilvl="1" w:tentative="0">
      <w:start w:val="1"/>
      <w:numFmt w:val="bullet"/>
      <w:pStyle w:val="123"/>
      <w:lvlText w:val=""/>
      <w:lvlJc w:val="left"/>
      <w:pPr>
        <w:tabs>
          <w:tab w:val="left" w:pos="760"/>
        </w:tabs>
        <w:ind w:left="1264" w:hanging="413"/>
      </w:pPr>
      <w:rPr>
        <w:rFonts w:hint="default" w:ascii="Symbol" w:hAnsi="Symbol"/>
        <w:color w:val="auto"/>
      </w:rPr>
    </w:lvl>
    <w:lvl w:ilvl="2" w:tentative="0">
      <w:start w:val="1"/>
      <w:numFmt w:val="bullet"/>
      <w:pStyle w:val="19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39F2B65"/>
    <w:multiLevelType w:val="multilevel"/>
    <w:tmpl w:val="339F2B65"/>
    <w:lvl w:ilvl="0" w:tentative="0">
      <w:start w:val="1"/>
      <w:numFmt w:val="chineseCountingThousand"/>
      <w:pStyle w:val="2"/>
      <w:suff w:val="nothing"/>
      <w:lvlText w:val="%1、"/>
      <w:lvlJc w:val="left"/>
      <w:pPr>
        <w:ind w:left="432" w:hanging="432"/>
      </w:pPr>
      <w:rPr>
        <w:rFonts w:hint="eastAsia"/>
      </w:rPr>
    </w:lvl>
    <w:lvl w:ilvl="1" w:tentative="0">
      <w:start w:val="1"/>
      <w:numFmt w:val="chineseCountingThousand"/>
      <w:pStyle w:val="3"/>
      <w:suff w:val="nothing"/>
      <w:lvlText w:val="（%2）"/>
      <w:lvlJc w:val="left"/>
      <w:pPr>
        <w:ind w:left="1144" w:hanging="1144"/>
      </w:pPr>
      <w:rPr>
        <w:rFonts w:hint="eastAsia"/>
      </w:rPr>
    </w:lvl>
    <w:lvl w:ilvl="2" w:tentative="0">
      <w:start w:val="1"/>
      <w:numFmt w:val="decimal"/>
      <w:pStyle w:val="4"/>
      <w:suff w:val="space"/>
      <w:lvlText w:val="%3"/>
      <w:lvlJc w:val="left"/>
      <w:pPr>
        <w:ind w:left="720" w:hanging="720"/>
      </w:pPr>
      <w:rPr>
        <w:rFonts w:hint="eastAsia"/>
      </w:rPr>
    </w:lvl>
    <w:lvl w:ilvl="3" w:tentative="0">
      <w:start w:val="1"/>
      <w:numFmt w:val="decimal"/>
      <w:pStyle w:val="5"/>
      <w:suff w:val="space"/>
      <w:lvlText w:val="%3.%4"/>
      <w:lvlJc w:val="left"/>
      <w:pPr>
        <w:ind w:left="864" w:hanging="864"/>
      </w:pPr>
      <w:rPr>
        <w:rFonts w:hint="eastAsia"/>
      </w:rPr>
    </w:lvl>
    <w:lvl w:ilvl="4" w:tentative="0">
      <w:start w:val="1"/>
      <w:numFmt w:val="decimal"/>
      <w:pStyle w:val="6"/>
      <w:suff w:val="space"/>
      <w:lvlText w:val="%3.%4.%5"/>
      <w:lvlJc w:val="left"/>
      <w:pPr>
        <w:ind w:left="1008" w:hanging="1008"/>
      </w:pPr>
      <w:rPr>
        <w:rFonts w:hint="eastAsia"/>
      </w:rPr>
    </w:lvl>
    <w:lvl w:ilvl="5" w:tentative="0">
      <w:start w:val="1"/>
      <w:numFmt w:val="decimal"/>
      <w:pStyle w:val="7"/>
      <w:suff w:val="space"/>
      <w:lvlText w:val="%3.%4.%5.%6"/>
      <w:lvlJc w:val="left"/>
      <w:pPr>
        <w:ind w:left="1152" w:hanging="1152"/>
      </w:pPr>
      <w:rPr>
        <w:rFonts w:hint="eastAsia"/>
      </w:rPr>
    </w:lvl>
    <w:lvl w:ilvl="6" w:tentative="0">
      <w:start w:val="1"/>
      <w:numFmt w:val="decimal"/>
      <w:pStyle w:val="8"/>
      <w:suff w:val="space"/>
      <w:lvlText w:val="%3.%4.%5.%6.%7"/>
      <w:lvlJc w:val="left"/>
      <w:pPr>
        <w:ind w:left="1296" w:hanging="1296"/>
      </w:pPr>
      <w:rPr>
        <w:rFonts w:hint="eastAsia"/>
      </w:rPr>
    </w:lvl>
    <w:lvl w:ilvl="7" w:tentative="0">
      <w:start w:val="1"/>
      <w:numFmt w:val="decimal"/>
      <w:pStyle w:val="9"/>
      <w:suff w:val="space"/>
      <w:lvlText w:val="%3.%4.%5.%6.%7.%8"/>
      <w:lvlJc w:val="left"/>
      <w:pPr>
        <w:ind w:left="1440" w:hanging="1440"/>
      </w:pPr>
      <w:rPr>
        <w:rFonts w:hint="eastAsia"/>
      </w:rPr>
    </w:lvl>
    <w:lvl w:ilvl="8" w:tentative="0">
      <w:start w:val="1"/>
      <w:numFmt w:val="decimal"/>
      <w:pStyle w:val="10"/>
      <w:suff w:val="space"/>
      <w:lvlText w:val="%3.%4.%5.%6.%7.%8.%9"/>
      <w:lvlJc w:val="left"/>
      <w:pPr>
        <w:ind w:left="1584" w:hanging="1584"/>
      </w:pPr>
      <w:rPr>
        <w:rFonts w:hint="eastAsia"/>
      </w:rPr>
    </w:lvl>
  </w:abstractNum>
  <w:abstractNum w:abstractNumId="15">
    <w:nsid w:val="3D733618"/>
    <w:multiLevelType w:val="multilevel"/>
    <w:tmpl w:val="3D733618"/>
    <w:lvl w:ilvl="0" w:tentative="0">
      <w:start w:val="1"/>
      <w:numFmt w:val="decimal"/>
      <w:pStyle w:val="3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6">
    <w:nsid w:val="44C50F90"/>
    <w:multiLevelType w:val="multilevel"/>
    <w:tmpl w:val="44C50F90"/>
    <w:lvl w:ilvl="0" w:tentative="0">
      <w:start w:val="1"/>
      <w:numFmt w:val="lowerLetter"/>
      <w:pStyle w:val="9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B733A5F"/>
    <w:multiLevelType w:val="multilevel"/>
    <w:tmpl w:val="4B733A5F"/>
    <w:lvl w:ilvl="0" w:tentative="0">
      <w:start w:val="1"/>
      <w:numFmt w:val="decimal"/>
      <w:pStyle w:val="19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4DF9B353"/>
    <w:multiLevelType w:val="multilevel"/>
    <w:tmpl w:val="4DF9B353"/>
    <w:lvl w:ilvl="0" w:tentative="0">
      <w:start w:val="1"/>
      <w:numFmt w:val="lowerLetter"/>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4050508"/>
    <w:multiLevelType w:val="multilevel"/>
    <w:tmpl w:val="54050508"/>
    <w:lvl w:ilvl="0" w:tentative="0">
      <w:start w:val="1"/>
      <w:numFmt w:val="decimal"/>
      <w:pStyle w:val="78"/>
      <w:lvlText w:val="%1)"/>
      <w:lvlJc w:val="left"/>
      <w:pPr>
        <w:ind w:left="836" w:hanging="360"/>
      </w:pPr>
      <w:rPr>
        <w:rFonts w:ascii="Times New Roman" w:hAnsi="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2"/>
      <w:numFmt w:val="decimalEnclosedCircle"/>
      <w:lvlText w:val="%2"/>
      <w:lvlJc w:val="left"/>
      <w:pPr>
        <w:ind w:left="1490" w:hanging="360"/>
      </w:pPr>
      <w:rPr>
        <w:rFonts w:hint="default"/>
      </w:rPr>
    </w:lvl>
    <w:lvl w:ilvl="2" w:tentative="0">
      <w:start w:val="1"/>
      <w:numFmt w:val="lowerRoman"/>
      <w:lvlText w:val="%3."/>
      <w:lvlJc w:val="right"/>
      <w:pPr>
        <w:ind w:left="2210" w:hanging="180"/>
      </w:pPr>
    </w:lvl>
    <w:lvl w:ilvl="3" w:tentative="0">
      <w:start w:val="1"/>
      <w:numFmt w:val="decimal"/>
      <w:lvlText w:val="%4."/>
      <w:lvlJc w:val="left"/>
      <w:pPr>
        <w:ind w:left="2930" w:hanging="360"/>
      </w:pPr>
    </w:lvl>
    <w:lvl w:ilvl="4" w:tentative="0">
      <w:start w:val="1"/>
      <w:numFmt w:val="lowerLetter"/>
      <w:lvlText w:val="%5."/>
      <w:lvlJc w:val="left"/>
      <w:pPr>
        <w:ind w:left="3650" w:hanging="360"/>
      </w:pPr>
    </w:lvl>
    <w:lvl w:ilvl="5" w:tentative="0">
      <w:start w:val="1"/>
      <w:numFmt w:val="lowerRoman"/>
      <w:lvlText w:val="%6."/>
      <w:lvlJc w:val="right"/>
      <w:pPr>
        <w:ind w:left="4370" w:hanging="180"/>
      </w:pPr>
    </w:lvl>
    <w:lvl w:ilvl="6" w:tentative="0">
      <w:start w:val="1"/>
      <w:numFmt w:val="decimal"/>
      <w:lvlText w:val="%7."/>
      <w:lvlJc w:val="left"/>
      <w:pPr>
        <w:ind w:left="5090" w:hanging="360"/>
      </w:pPr>
    </w:lvl>
    <w:lvl w:ilvl="7" w:tentative="0">
      <w:start w:val="1"/>
      <w:numFmt w:val="lowerLetter"/>
      <w:lvlText w:val="%8."/>
      <w:lvlJc w:val="left"/>
      <w:pPr>
        <w:ind w:left="5810" w:hanging="360"/>
      </w:pPr>
    </w:lvl>
    <w:lvl w:ilvl="8" w:tentative="0">
      <w:start w:val="1"/>
      <w:numFmt w:val="lowerRoman"/>
      <w:lvlText w:val="%9."/>
      <w:lvlJc w:val="right"/>
      <w:pPr>
        <w:ind w:left="6530" w:hanging="180"/>
      </w:pPr>
    </w:lvl>
  </w:abstractNum>
  <w:abstractNum w:abstractNumId="20">
    <w:nsid w:val="60B55DC2"/>
    <w:multiLevelType w:val="multilevel"/>
    <w:tmpl w:val="60B55DC2"/>
    <w:lvl w:ilvl="0" w:tentative="0">
      <w:start w:val="1"/>
      <w:numFmt w:val="upperLetter"/>
      <w:pStyle w:val="184"/>
      <w:lvlText w:val="%1"/>
      <w:lvlJc w:val="left"/>
      <w:pPr>
        <w:tabs>
          <w:tab w:val="left" w:pos="0"/>
        </w:tabs>
        <w:ind w:left="0" w:hanging="425"/>
      </w:pPr>
      <w:rPr>
        <w:rFonts w:hint="eastAsia"/>
      </w:rPr>
    </w:lvl>
    <w:lvl w:ilvl="1" w:tentative="0">
      <w:start w:val="1"/>
      <w:numFmt w:val="decimal"/>
      <w:pStyle w:val="21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26EB840"/>
    <w:multiLevelType w:val="singleLevel"/>
    <w:tmpl w:val="626EB840"/>
    <w:lvl w:ilvl="0" w:tentative="0">
      <w:start w:val="1"/>
      <w:numFmt w:val="lowerLetter"/>
      <w:suff w:val="space"/>
      <w:lvlText w:val="%1）"/>
      <w:lvlJc w:val="left"/>
    </w:lvl>
  </w:abstractNum>
  <w:abstractNum w:abstractNumId="22">
    <w:nsid w:val="646260FA"/>
    <w:multiLevelType w:val="multilevel"/>
    <w:tmpl w:val="646260FA"/>
    <w:lvl w:ilvl="0" w:tentative="0">
      <w:start w:val="1"/>
      <w:numFmt w:val="decimal"/>
      <w:pStyle w:val="244"/>
      <w:suff w:val="nothing"/>
      <w:lvlText w:val="表%1　"/>
      <w:lvlJc w:val="left"/>
      <w:pPr>
        <w:ind w:left="4253" w:firstLine="0"/>
      </w:pPr>
      <w:rPr>
        <w:rFonts w:hint="eastAsia" w:ascii="黑体" w:hAnsi="Times New Roman" w:eastAsia="黑体"/>
        <w:b w:val="0"/>
        <w:i w:val="0"/>
        <w:sz w:val="21"/>
        <w:lang w:val="en-US"/>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2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92"/>
      <w:suff w:val="nothing"/>
      <w:lvlText w:val="%1%2　"/>
      <w:lvlJc w:val="left"/>
      <w:pPr>
        <w:ind w:left="0" w:firstLine="0"/>
      </w:pPr>
      <w:rPr>
        <w:rFonts w:hint="eastAsia" w:ascii="黑体" w:eastAsia="黑体"/>
        <w:b w:val="0"/>
        <w:i w:val="0"/>
        <w:sz w:val="21"/>
      </w:rPr>
    </w:lvl>
    <w:lvl w:ilvl="2" w:tentative="0">
      <w:start w:val="1"/>
      <w:numFmt w:val="decimal"/>
      <w:pStyle w:val="293"/>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6C07CD"/>
    <w:multiLevelType w:val="multilevel"/>
    <w:tmpl w:val="6D6C07CD"/>
    <w:lvl w:ilvl="0" w:tentative="0">
      <w:start w:val="1"/>
      <w:numFmt w:val="lowerLetter"/>
      <w:pStyle w:val="170"/>
      <w:lvlText w:val="%1)"/>
      <w:lvlJc w:val="left"/>
      <w:pPr>
        <w:tabs>
          <w:tab w:val="left" w:pos="839"/>
        </w:tabs>
        <w:ind w:left="839" w:hanging="419"/>
      </w:pPr>
      <w:rPr>
        <w:rFonts w:hint="eastAsia" w:ascii="宋体" w:eastAsia="宋体"/>
        <w:b w:val="0"/>
        <w:i w:val="0"/>
        <w:sz w:val="21"/>
      </w:rPr>
    </w:lvl>
    <w:lvl w:ilvl="1" w:tentative="0">
      <w:start w:val="1"/>
      <w:numFmt w:val="decimal"/>
      <w:pStyle w:val="22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5">
    <w:nsid w:val="6DBF04F4"/>
    <w:multiLevelType w:val="multilevel"/>
    <w:tmpl w:val="6DBF04F4"/>
    <w:lvl w:ilvl="0" w:tentative="0">
      <w:start w:val="1"/>
      <w:numFmt w:val="none"/>
      <w:pStyle w:val="8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6EDD7203"/>
    <w:multiLevelType w:val="multilevel"/>
    <w:tmpl w:val="6EDD7203"/>
    <w:lvl w:ilvl="0" w:tentative="0">
      <w:start w:val="1"/>
      <w:numFmt w:val="upperLetter"/>
      <w:pStyle w:val="278"/>
      <w:suff w:val="nothing"/>
      <w:lvlText w:val="附　录　%1"/>
      <w:lvlJc w:val="left"/>
      <w:pPr>
        <w:ind w:left="4536"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4536"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536" w:firstLine="0"/>
      </w:pPr>
      <w:rPr>
        <w:rFonts w:hint="eastAsia" w:ascii="黑体" w:hAnsi="Times New Roman" w:eastAsia="黑体"/>
        <w:b w:val="0"/>
        <w:i w:val="0"/>
        <w:sz w:val="21"/>
      </w:rPr>
    </w:lvl>
    <w:lvl w:ilvl="3" w:tentative="0">
      <w:start w:val="1"/>
      <w:numFmt w:val="decimal"/>
      <w:suff w:val="nothing"/>
      <w:lvlText w:val="%1.%2.%3.%4　"/>
      <w:lvlJc w:val="left"/>
      <w:pPr>
        <w:ind w:left="4536" w:firstLine="0"/>
      </w:pPr>
      <w:rPr>
        <w:rFonts w:hint="eastAsia" w:ascii="黑体" w:hAnsi="Times New Roman" w:eastAsia="黑体"/>
        <w:b w:val="0"/>
        <w:i w:val="0"/>
        <w:sz w:val="21"/>
      </w:rPr>
    </w:lvl>
    <w:lvl w:ilvl="4" w:tentative="0">
      <w:start w:val="1"/>
      <w:numFmt w:val="decimal"/>
      <w:suff w:val="nothing"/>
      <w:lvlText w:val="%1.%2.%3.%4.%5　"/>
      <w:lvlJc w:val="left"/>
      <w:pPr>
        <w:ind w:left="4536" w:firstLine="0"/>
      </w:pPr>
      <w:rPr>
        <w:rFonts w:hint="eastAsia" w:ascii="黑体" w:hAnsi="Times New Roman" w:eastAsia="黑体"/>
        <w:b w:val="0"/>
        <w:i w:val="0"/>
        <w:sz w:val="21"/>
      </w:rPr>
    </w:lvl>
    <w:lvl w:ilvl="5" w:tentative="0">
      <w:start w:val="1"/>
      <w:numFmt w:val="decimal"/>
      <w:suff w:val="nothing"/>
      <w:lvlText w:val="%1.%2.%3.%4.%5.%6　"/>
      <w:lvlJc w:val="left"/>
      <w:pPr>
        <w:ind w:left="4536" w:firstLine="0"/>
      </w:pPr>
      <w:rPr>
        <w:rFonts w:hint="eastAsia" w:ascii="黑体" w:hAnsi="Times New Roman" w:eastAsia="黑体"/>
        <w:b w:val="0"/>
        <w:i w:val="0"/>
        <w:sz w:val="21"/>
      </w:rPr>
    </w:lvl>
    <w:lvl w:ilvl="6" w:tentative="0">
      <w:start w:val="1"/>
      <w:numFmt w:val="decimal"/>
      <w:suff w:val="nothing"/>
      <w:lvlText w:val="%1.%2.%3.%4.%5.%6.%7　"/>
      <w:lvlJc w:val="left"/>
      <w:pPr>
        <w:ind w:left="4536" w:firstLine="0"/>
      </w:pPr>
      <w:rPr>
        <w:rFonts w:hint="eastAsia" w:ascii="黑体" w:hAnsi="Times New Roman" w:eastAsia="黑体"/>
        <w:b w:val="0"/>
        <w:i w:val="0"/>
        <w:sz w:val="21"/>
      </w:rPr>
    </w:lvl>
    <w:lvl w:ilvl="7" w:tentative="0">
      <w:start w:val="1"/>
      <w:numFmt w:val="decimal"/>
      <w:lvlText w:val="%1.%2.%3.%4.%5.%6.%7.%8"/>
      <w:lvlJc w:val="left"/>
      <w:pPr>
        <w:tabs>
          <w:tab w:val="left" w:pos="8930"/>
        </w:tabs>
        <w:ind w:left="8930" w:hanging="1418"/>
      </w:pPr>
      <w:rPr>
        <w:rFonts w:hint="eastAsia"/>
      </w:rPr>
    </w:lvl>
    <w:lvl w:ilvl="8" w:tentative="0">
      <w:start w:val="1"/>
      <w:numFmt w:val="decimal"/>
      <w:lvlText w:val="%1.%2.%3.%4.%5.%6.%7.%8.%9"/>
      <w:lvlJc w:val="left"/>
      <w:pPr>
        <w:tabs>
          <w:tab w:val="left" w:pos="9638"/>
        </w:tabs>
        <w:ind w:left="9638" w:hanging="1700"/>
      </w:pPr>
      <w:rPr>
        <w:rFonts w:hint="eastAsia"/>
      </w:rPr>
    </w:lvl>
  </w:abstractNum>
  <w:abstractNum w:abstractNumId="27">
    <w:nsid w:val="74CE6EE9"/>
    <w:multiLevelType w:val="singleLevel"/>
    <w:tmpl w:val="74CE6EE9"/>
    <w:lvl w:ilvl="0" w:tentative="0">
      <w:start w:val="1"/>
      <w:numFmt w:val="lowerLetter"/>
      <w:suff w:val="space"/>
      <w:lvlText w:val="%1）"/>
      <w:lvlJc w:val="left"/>
    </w:lvl>
  </w:abstractNum>
  <w:num w:numId="1">
    <w:abstractNumId w:val="14"/>
  </w:num>
  <w:num w:numId="2">
    <w:abstractNumId w:val="15"/>
  </w:num>
  <w:num w:numId="3">
    <w:abstractNumId w:val="9"/>
  </w:num>
  <w:num w:numId="4">
    <w:abstractNumId w:val="19"/>
  </w:num>
  <w:num w:numId="5">
    <w:abstractNumId w:val="25"/>
  </w:num>
  <w:num w:numId="6">
    <w:abstractNumId w:val="3"/>
  </w:num>
  <w:num w:numId="7">
    <w:abstractNumId w:val="16"/>
  </w:num>
  <w:num w:numId="8">
    <w:abstractNumId w:val="8"/>
  </w:num>
  <w:num w:numId="9">
    <w:abstractNumId w:val="7"/>
  </w:num>
  <w:num w:numId="10">
    <w:abstractNumId w:val="13"/>
  </w:num>
  <w:num w:numId="11">
    <w:abstractNumId w:val="4"/>
  </w:num>
  <w:num w:numId="12">
    <w:abstractNumId w:val="10"/>
  </w:num>
  <w:num w:numId="13">
    <w:abstractNumId w:val="24"/>
  </w:num>
  <w:num w:numId="14">
    <w:abstractNumId w:val="20"/>
  </w:num>
  <w:num w:numId="15">
    <w:abstractNumId w:val="2"/>
  </w:num>
  <w:num w:numId="16">
    <w:abstractNumId w:val="17"/>
  </w:num>
  <w:num w:numId="17">
    <w:abstractNumId w:val="11"/>
  </w:num>
  <w:num w:numId="18">
    <w:abstractNumId w:val="12"/>
  </w:num>
  <w:num w:numId="19">
    <w:abstractNumId w:val="6"/>
  </w:num>
  <w:num w:numId="20">
    <w:abstractNumId w:val="22"/>
  </w:num>
  <w:num w:numId="21">
    <w:abstractNumId w:val="5"/>
  </w:num>
  <w:num w:numId="22">
    <w:abstractNumId w:val="26"/>
  </w:num>
  <w:num w:numId="23">
    <w:abstractNumId w:val="23"/>
  </w:num>
  <w:num w:numId="24">
    <w:abstractNumId w:val="0"/>
  </w:num>
  <w:num w:numId="25">
    <w:abstractNumId w:val="18"/>
  </w:num>
  <w:num w:numId="26">
    <w:abstractNumId w:val="27"/>
  </w:num>
  <w:num w:numId="27">
    <w:abstractNumId w:val="2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Q0Nrc0M7EwMbI0NjFX0lEKTi0uzszPAykwqQUA/ygsdywAAAA="/>
    <w:docVar w:name="commondata" w:val="eyJoZGlkIjoiNzVlZDFjOTAwZTNlZjgwZmZlNDFhOTc2YTNmOTZlZjgifQ=="/>
  </w:docVars>
  <w:rsids>
    <w:rsidRoot w:val="00035925"/>
    <w:rsid w:val="00000244"/>
    <w:rsid w:val="0000185F"/>
    <w:rsid w:val="0000490D"/>
    <w:rsid w:val="00004BE5"/>
    <w:rsid w:val="0000586F"/>
    <w:rsid w:val="000061F5"/>
    <w:rsid w:val="00006C41"/>
    <w:rsid w:val="00007E30"/>
    <w:rsid w:val="000100AC"/>
    <w:rsid w:val="0001180F"/>
    <w:rsid w:val="00012412"/>
    <w:rsid w:val="00012442"/>
    <w:rsid w:val="0001278F"/>
    <w:rsid w:val="000128CE"/>
    <w:rsid w:val="00012D5C"/>
    <w:rsid w:val="000138EE"/>
    <w:rsid w:val="00013D86"/>
    <w:rsid w:val="00013E02"/>
    <w:rsid w:val="00014B34"/>
    <w:rsid w:val="000159D3"/>
    <w:rsid w:val="000162BB"/>
    <w:rsid w:val="0001705F"/>
    <w:rsid w:val="0002143C"/>
    <w:rsid w:val="00023FF8"/>
    <w:rsid w:val="00025A65"/>
    <w:rsid w:val="000268C0"/>
    <w:rsid w:val="00026C31"/>
    <w:rsid w:val="000270A3"/>
    <w:rsid w:val="00027280"/>
    <w:rsid w:val="00027971"/>
    <w:rsid w:val="000303C3"/>
    <w:rsid w:val="000320A7"/>
    <w:rsid w:val="0003226B"/>
    <w:rsid w:val="000326A0"/>
    <w:rsid w:val="000331CE"/>
    <w:rsid w:val="000332D8"/>
    <w:rsid w:val="0003339E"/>
    <w:rsid w:val="00035925"/>
    <w:rsid w:val="000365DF"/>
    <w:rsid w:val="00036DF6"/>
    <w:rsid w:val="000370FF"/>
    <w:rsid w:val="00040DBC"/>
    <w:rsid w:val="00041281"/>
    <w:rsid w:val="000437D8"/>
    <w:rsid w:val="0004446E"/>
    <w:rsid w:val="00044BFB"/>
    <w:rsid w:val="00046837"/>
    <w:rsid w:val="00047DC6"/>
    <w:rsid w:val="000506FC"/>
    <w:rsid w:val="000508BE"/>
    <w:rsid w:val="00050F21"/>
    <w:rsid w:val="000511D7"/>
    <w:rsid w:val="00053ECA"/>
    <w:rsid w:val="00055E37"/>
    <w:rsid w:val="00055FB4"/>
    <w:rsid w:val="00057DC8"/>
    <w:rsid w:val="00060882"/>
    <w:rsid w:val="00061210"/>
    <w:rsid w:val="00061B2E"/>
    <w:rsid w:val="00062B75"/>
    <w:rsid w:val="000642B7"/>
    <w:rsid w:val="0006547F"/>
    <w:rsid w:val="00067CDF"/>
    <w:rsid w:val="00070542"/>
    <w:rsid w:val="00071752"/>
    <w:rsid w:val="00071C75"/>
    <w:rsid w:val="00071F61"/>
    <w:rsid w:val="0007262A"/>
    <w:rsid w:val="000733D4"/>
    <w:rsid w:val="00074FBE"/>
    <w:rsid w:val="00075AAF"/>
    <w:rsid w:val="00075F8B"/>
    <w:rsid w:val="00076AA9"/>
    <w:rsid w:val="000828B9"/>
    <w:rsid w:val="00082B60"/>
    <w:rsid w:val="00083A09"/>
    <w:rsid w:val="000854EA"/>
    <w:rsid w:val="000863CF"/>
    <w:rsid w:val="00086DAE"/>
    <w:rsid w:val="0009005E"/>
    <w:rsid w:val="00092857"/>
    <w:rsid w:val="000934CC"/>
    <w:rsid w:val="000936DC"/>
    <w:rsid w:val="00093935"/>
    <w:rsid w:val="000951E5"/>
    <w:rsid w:val="000953FF"/>
    <w:rsid w:val="00096A4E"/>
    <w:rsid w:val="0009737E"/>
    <w:rsid w:val="00097970"/>
    <w:rsid w:val="000A0999"/>
    <w:rsid w:val="000A0A02"/>
    <w:rsid w:val="000A20A9"/>
    <w:rsid w:val="000A3100"/>
    <w:rsid w:val="000A3687"/>
    <w:rsid w:val="000A3FB4"/>
    <w:rsid w:val="000A48B1"/>
    <w:rsid w:val="000A4F9D"/>
    <w:rsid w:val="000A5814"/>
    <w:rsid w:val="000A6521"/>
    <w:rsid w:val="000A7300"/>
    <w:rsid w:val="000A7313"/>
    <w:rsid w:val="000B04DC"/>
    <w:rsid w:val="000B0E19"/>
    <w:rsid w:val="000B1022"/>
    <w:rsid w:val="000B19F9"/>
    <w:rsid w:val="000B3143"/>
    <w:rsid w:val="000B41B3"/>
    <w:rsid w:val="000B4294"/>
    <w:rsid w:val="000B4DF1"/>
    <w:rsid w:val="000B5C0C"/>
    <w:rsid w:val="000B7893"/>
    <w:rsid w:val="000C0B0C"/>
    <w:rsid w:val="000C1F25"/>
    <w:rsid w:val="000C44BF"/>
    <w:rsid w:val="000C49B9"/>
    <w:rsid w:val="000C4F34"/>
    <w:rsid w:val="000C5D58"/>
    <w:rsid w:val="000C6B05"/>
    <w:rsid w:val="000C6DD6"/>
    <w:rsid w:val="000C6E4F"/>
    <w:rsid w:val="000C73D4"/>
    <w:rsid w:val="000D01AF"/>
    <w:rsid w:val="000D145B"/>
    <w:rsid w:val="000D1A40"/>
    <w:rsid w:val="000D285D"/>
    <w:rsid w:val="000D2CF3"/>
    <w:rsid w:val="000D395A"/>
    <w:rsid w:val="000D3C00"/>
    <w:rsid w:val="000D3D4C"/>
    <w:rsid w:val="000D4143"/>
    <w:rsid w:val="000D4283"/>
    <w:rsid w:val="000D4913"/>
    <w:rsid w:val="000D4EF2"/>
    <w:rsid w:val="000D4F51"/>
    <w:rsid w:val="000D4F5F"/>
    <w:rsid w:val="000D5AF7"/>
    <w:rsid w:val="000D5E5F"/>
    <w:rsid w:val="000D718B"/>
    <w:rsid w:val="000E044A"/>
    <w:rsid w:val="000E0536"/>
    <w:rsid w:val="000E06E6"/>
    <w:rsid w:val="000E0C46"/>
    <w:rsid w:val="000E0CF0"/>
    <w:rsid w:val="000E3C4A"/>
    <w:rsid w:val="000E5465"/>
    <w:rsid w:val="000E55B1"/>
    <w:rsid w:val="000E6AD8"/>
    <w:rsid w:val="000E75B9"/>
    <w:rsid w:val="000F030C"/>
    <w:rsid w:val="000F129C"/>
    <w:rsid w:val="000F23D7"/>
    <w:rsid w:val="000F2914"/>
    <w:rsid w:val="000F38B8"/>
    <w:rsid w:val="000F568D"/>
    <w:rsid w:val="000F5F71"/>
    <w:rsid w:val="000F649A"/>
    <w:rsid w:val="00101580"/>
    <w:rsid w:val="0010165E"/>
    <w:rsid w:val="00101F6E"/>
    <w:rsid w:val="00102DA3"/>
    <w:rsid w:val="00102DD2"/>
    <w:rsid w:val="001035F3"/>
    <w:rsid w:val="001038F6"/>
    <w:rsid w:val="001056DE"/>
    <w:rsid w:val="001056E7"/>
    <w:rsid w:val="0010581B"/>
    <w:rsid w:val="00106E25"/>
    <w:rsid w:val="0010715D"/>
    <w:rsid w:val="00107799"/>
    <w:rsid w:val="00110596"/>
    <w:rsid w:val="00110A1E"/>
    <w:rsid w:val="0011171C"/>
    <w:rsid w:val="001124C0"/>
    <w:rsid w:val="0011460D"/>
    <w:rsid w:val="00114F89"/>
    <w:rsid w:val="0011546C"/>
    <w:rsid w:val="001155C3"/>
    <w:rsid w:val="001155E3"/>
    <w:rsid w:val="00116230"/>
    <w:rsid w:val="0012166F"/>
    <w:rsid w:val="00122612"/>
    <w:rsid w:val="00122684"/>
    <w:rsid w:val="001226F1"/>
    <w:rsid w:val="0012397B"/>
    <w:rsid w:val="00123BBA"/>
    <w:rsid w:val="001244FF"/>
    <w:rsid w:val="00126CEE"/>
    <w:rsid w:val="00127831"/>
    <w:rsid w:val="0013175F"/>
    <w:rsid w:val="001324EF"/>
    <w:rsid w:val="00133112"/>
    <w:rsid w:val="00133F6E"/>
    <w:rsid w:val="0013605B"/>
    <w:rsid w:val="00136806"/>
    <w:rsid w:val="00136A5D"/>
    <w:rsid w:val="00144D7A"/>
    <w:rsid w:val="00145B75"/>
    <w:rsid w:val="00146543"/>
    <w:rsid w:val="001465BF"/>
    <w:rsid w:val="0014740C"/>
    <w:rsid w:val="0015009E"/>
    <w:rsid w:val="001512B4"/>
    <w:rsid w:val="0015294D"/>
    <w:rsid w:val="00152BB6"/>
    <w:rsid w:val="001538D4"/>
    <w:rsid w:val="001553B2"/>
    <w:rsid w:val="0015604F"/>
    <w:rsid w:val="00156115"/>
    <w:rsid w:val="00156272"/>
    <w:rsid w:val="00156DB4"/>
    <w:rsid w:val="00157792"/>
    <w:rsid w:val="001608A2"/>
    <w:rsid w:val="00161B5D"/>
    <w:rsid w:val="00161C14"/>
    <w:rsid w:val="001620A5"/>
    <w:rsid w:val="001646C3"/>
    <w:rsid w:val="00164E53"/>
    <w:rsid w:val="00165498"/>
    <w:rsid w:val="00166967"/>
    <w:rsid w:val="0016699D"/>
    <w:rsid w:val="001730BE"/>
    <w:rsid w:val="00173230"/>
    <w:rsid w:val="0017360D"/>
    <w:rsid w:val="00173DA8"/>
    <w:rsid w:val="00175159"/>
    <w:rsid w:val="00176208"/>
    <w:rsid w:val="00177F50"/>
    <w:rsid w:val="00181EA7"/>
    <w:rsid w:val="0018211B"/>
    <w:rsid w:val="0018299F"/>
    <w:rsid w:val="001840D3"/>
    <w:rsid w:val="00184866"/>
    <w:rsid w:val="00184890"/>
    <w:rsid w:val="00185E8F"/>
    <w:rsid w:val="001900F8"/>
    <w:rsid w:val="00190BB6"/>
    <w:rsid w:val="00190DA0"/>
    <w:rsid w:val="00191258"/>
    <w:rsid w:val="00191259"/>
    <w:rsid w:val="0019161B"/>
    <w:rsid w:val="00192680"/>
    <w:rsid w:val="00193037"/>
    <w:rsid w:val="001938E6"/>
    <w:rsid w:val="00193A2C"/>
    <w:rsid w:val="001945AC"/>
    <w:rsid w:val="00194D78"/>
    <w:rsid w:val="001971D9"/>
    <w:rsid w:val="00197319"/>
    <w:rsid w:val="001973D9"/>
    <w:rsid w:val="00197FB6"/>
    <w:rsid w:val="001A1018"/>
    <w:rsid w:val="001A102E"/>
    <w:rsid w:val="001A2203"/>
    <w:rsid w:val="001A288E"/>
    <w:rsid w:val="001A2DD9"/>
    <w:rsid w:val="001A55DB"/>
    <w:rsid w:val="001A5A97"/>
    <w:rsid w:val="001A5D37"/>
    <w:rsid w:val="001A63B2"/>
    <w:rsid w:val="001A6AE4"/>
    <w:rsid w:val="001A7361"/>
    <w:rsid w:val="001A7CD6"/>
    <w:rsid w:val="001B12F0"/>
    <w:rsid w:val="001B2021"/>
    <w:rsid w:val="001B35A9"/>
    <w:rsid w:val="001B3620"/>
    <w:rsid w:val="001B3D73"/>
    <w:rsid w:val="001B41E0"/>
    <w:rsid w:val="001B48B4"/>
    <w:rsid w:val="001B64A9"/>
    <w:rsid w:val="001B6DC2"/>
    <w:rsid w:val="001B7041"/>
    <w:rsid w:val="001B7264"/>
    <w:rsid w:val="001B7D95"/>
    <w:rsid w:val="001C0836"/>
    <w:rsid w:val="001C0C24"/>
    <w:rsid w:val="001C149C"/>
    <w:rsid w:val="001C21AC"/>
    <w:rsid w:val="001C47BA"/>
    <w:rsid w:val="001C4EE4"/>
    <w:rsid w:val="001C4F10"/>
    <w:rsid w:val="001C5353"/>
    <w:rsid w:val="001C59EA"/>
    <w:rsid w:val="001C677E"/>
    <w:rsid w:val="001C6B03"/>
    <w:rsid w:val="001D04A4"/>
    <w:rsid w:val="001D081C"/>
    <w:rsid w:val="001D10A1"/>
    <w:rsid w:val="001D3EDA"/>
    <w:rsid w:val="001D401D"/>
    <w:rsid w:val="001D406C"/>
    <w:rsid w:val="001D41EE"/>
    <w:rsid w:val="001D4DA0"/>
    <w:rsid w:val="001D74B8"/>
    <w:rsid w:val="001D74ED"/>
    <w:rsid w:val="001D7E91"/>
    <w:rsid w:val="001E0380"/>
    <w:rsid w:val="001E09F9"/>
    <w:rsid w:val="001E13B1"/>
    <w:rsid w:val="001E2145"/>
    <w:rsid w:val="001E2C03"/>
    <w:rsid w:val="001E4179"/>
    <w:rsid w:val="001E4FD1"/>
    <w:rsid w:val="001E5788"/>
    <w:rsid w:val="001E7721"/>
    <w:rsid w:val="001E7D36"/>
    <w:rsid w:val="001E7DDA"/>
    <w:rsid w:val="001F1AC8"/>
    <w:rsid w:val="001F1CB7"/>
    <w:rsid w:val="001F20E8"/>
    <w:rsid w:val="001F2BC6"/>
    <w:rsid w:val="001F3787"/>
    <w:rsid w:val="001F39C9"/>
    <w:rsid w:val="001F3A19"/>
    <w:rsid w:val="001F3CBF"/>
    <w:rsid w:val="001F3CDF"/>
    <w:rsid w:val="001F4A9D"/>
    <w:rsid w:val="001F50E7"/>
    <w:rsid w:val="001F5F69"/>
    <w:rsid w:val="001F6CC3"/>
    <w:rsid w:val="001F7466"/>
    <w:rsid w:val="00202FEF"/>
    <w:rsid w:val="00205178"/>
    <w:rsid w:val="002067A1"/>
    <w:rsid w:val="00207187"/>
    <w:rsid w:val="00207309"/>
    <w:rsid w:val="00207312"/>
    <w:rsid w:val="00207590"/>
    <w:rsid w:val="00212ADC"/>
    <w:rsid w:val="002139A0"/>
    <w:rsid w:val="00213B69"/>
    <w:rsid w:val="00215C7A"/>
    <w:rsid w:val="00216FCC"/>
    <w:rsid w:val="00217167"/>
    <w:rsid w:val="002174DA"/>
    <w:rsid w:val="002200F4"/>
    <w:rsid w:val="002210D2"/>
    <w:rsid w:val="00221C42"/>
    <w:rsid w:val="00221E88"/>
    <w:rsid w:val="0022339F"/>
    <w:rsid w:val="00223431"/>
    <w:rsid w:val="00223A8D"/>
    <w:rsid w:val="00223DEA"/>
    <w:rsid w:val="00225CE1"/>
    <w:rsid w:val="00226B86"/>
    <w:rsid w:val="002272F3"/>
    <w:rsid w:val="002276EB"/>
    <w:rsid w:val="00227B59"/>
    <w:rsid w:val="002305CC"/>
    <w:rsid w:val="00231221"/>
    <w:rsid w:val="0023219A"/>
    <w:rsid w:val="0023397C"/>
    <w:rsid w:val="00234467"/>
    <w:rsid w:val="002364F4"/>
    <w:rsid w:val="00236822"/>
    <w:rsid w:val="00237565"/>
    <w:rsid w:val="00237762"/>
    <w:rsid w:val="00237D8D"/>
    <w:rsid w:val="00240F61"/>
    <w:rsid w:val="00241DA2"/>
    <w:rsid w:val="00242566"/>
    <w:rsid w:val="00243A10"/>
    <w:rsid w:val="002442A2"/>
    <w:rsid w:val="002442C6"/>
    <w:rsid w:val="00244D6F"/>
    <w:rsid w:val="00245898"/>
    <w:rsid w:val="00245B79"/>
    <w:rsid w:val="00247FEE"/>
    <w:rsid w:val="00250777"/>
    <w:rsid w:val="00250E7D"/>
    <w:rsid w:val="00254209"/>
    <w:rsid w:val="002565D5"/>
    <w:rsid w:val="00257654"/>
    <w:rsid w:val="002576D6"/>
    <w:rsid w:val="00261238"/>
    <w:rsid w:val="0026212E"/>
    <w:rsid w:val="002622C0"/>
    <w:rsid w:val="00262E3A"/>
    <w:rsid w:val="00263C8C"/>
    <w:rsid w:val="002653E7"/>
    <w:rsid w:val="002666EF"/>
    <w:rsid w:val="00270160"/>
    <w:rsid w:val="00271C30"/>
    <w:rsid w:val="00272B66"/>
    <w:rsid w:val="00272D5E"/>
    <w:rsid w:val="002731E5"/>
    <w:rsid w:val="00273F03"/>
    <w:rsid w:val="00274280"/>
    <w:rsid w:val="00275663"/>
    <w:rsid w:val="00276270"/>
    <w:rsid w:val="0027707D"/>
    <w:rsid w:val="002774E6"/>
    <w:rsid w:val="002778AE"/>
    <w:rsid w:val="00280B26"/>
    <w:rsid w:val="0028269A"/>
    <w:rsid w:val="00283590"/>
    <w:rsid w:val="00284454"/>
    <w:rsid w:val="0028459C"/>
    <w:rsid w:val="002846B1"/>
    <w:rsid w:val="002850C6"/>
    <w:rsid w:val="0028550B"/>
    <w:rsid w:val="00286696"/>
    <w:rsid w:val="00286973"/>
    <w:rsid w:val="002872E2"/>
    <w:rsid w:val="00287C9F"/>
    <w:rsid w:val="002926D0"/>
    <w:rsid w:val="0029412B"/>
    <w:rsid w:val="00294E70"/>
    <w:rsid w:val="00295290"/>
    <w:rsid w:val="00296A34"/>
    <w:rsid w:val="002977CD"/>
    <w:rsid w:val="00297D40"/>
    <w:rsid w:val="002A1343"/>
    <w:rsid w:val="002A1924"/>
    <w:rsid w:val="002A2526"/>
    <w:rsid w:val="002A2EA8"/>
    <w:rsid w:val="002A3361"/>
    <w:rsid w:val="002A344B"/>
    <w:rsid w:val="002A3A78"/>
    <w:rsid w:val="002A511D"/>
    <w:rsid w:val="002A67AC"/>
    <w:rsid w:val="002A7420"/>
    <w:rsid w:val="002B06D8"/>
    <w:rsid w:val="002B0F12"/>
    <w:rsid w:val="002B1308"/>
    <w:rsid w:val="002B1CCC"/>
    <w:rsid w:val="002B4554"/>
    <w:rsid w:val="002B52D0"/>
    <w:rsid w:val="002B601A"/>
    <w:rsid w:val="002C0775"/>
    <w:rsid w:val="002C119F"/>
    <w:rsid w:val="002C1892"/>
    <w:rsid w:val="002C1990"/>
    <w:rsid w:val="002C2D99"/>
    <w:rsid w:val="002C3043"/>
    <w:rsid w:val="002C408B"/>
    <w:rsid w:val="002C4A2D"/>
    <w:rsid w:val="002C5134"/>
    <w:rsid w:val="002C5724"/>
    <w:rsid w:val="002C6EE2"/>
    <w:rsid w:val="002C72D8"/>
    <w:rsid w:val="002C7A61"/>
    <w:rsid w:val="002D11FA"/>
    <w:rsid w:val="002D16D0"/>
    <w:rsid w:val="002D1C55"/>
    <w:rsid w:val="002D1E36"/>
    <w:rsid w:val="002D2A6B"/>
    <w:rsid w:val="002D3AAD"/>
    <w:rsid w:val="002D4BA5"/>
    <w:rsid w:val="002D626B"/>
    <w:rsid w:val="002D65C8"/>
    <w:rsid w:val="002E0593"/>
    <w:rsid w:val="002E0DDF"/>
    <w:rsid w:val="002E0E95"/>
    <w:rsid w:val="002E1BA4"/>
    <w:rsid w:val="002E2286"/>
    <w:rsid w:val="002E2906"/>
    <w:rsid w:val="002E2FB7"/>
    <w:rsid w:val="002E363B"/>
    <w:rsid w:val="002E5635"/>
    <w:rsid w:val="002E589C"/>
    <w:rsid w:val="002E5B15"/>
    <w:rsid w:val="002E64C3"/>
    <w:rsid w:val="002E6A2C"/>
    <w:rsid w:val="002E75F4"/>
    <w:rsid w:val="002E76F0"/>
    <w:rsid w:val="002F0116"/>
    <w:rsid w:val="002F02B9"/>
    <w:rsid w:val="002F1346"/>
    <w:rsid w:val="002F1791"/>
    <w:rsid w:val="002F1D8C"/>
    <w:rsid w:val="002F21DA"/>
    <w:rsid w:val="002F246D"/>
    <w:rsid w:val="002F2552"/>
    <w:rsid w:val="002F3EAE"/>
    <w:rsid w:val="002F4414"/>
    <w:rsid w:val="002F46B6"/>
    <w:rsid w:val="002F7B28"/>
    <w:rsid w:val="00300098"/>
    <w:rsid w:val="00301636"/>
    <w:rsid w:val="003019D3"/>
    <w:rsid w:val="00301F39"/>
    <w:rsid w:val="00302E7D"/>
    <w:rsid w:val="00303862"/>
    <w:rsid w:val="003046EF"/>
    <w:rsid w:val="00304728"/>
    <w:rsid w:val="00304FA3"/>
    <w:rsid w:val="00310712"/>
    <w:rsid w:val="00310E11"/>
    <w:rsid w:val="00311567"/>
    <w:rsid w:val="00311E62"/>
    <w:rsid w:val="00312800"/>
    <w:rsid w:val="00312F63"/>
    <w:rsid w:val="003130F2"/>
    <w:rsid w:val="0031338C"/>
    <w:rsid w:val="003160D7"/>
    <w:rsid w:val="00316610"/>
    <w:rsid w:val="003175A6"/>
    <w:rsid w:val="0031777F"/>
    <w:rsid w:val="00317AFA"/>
    <w:rsid w:val="00317CDD"/>
    <w:rsid w:val="00320601"/>
    <w:rsid w:val="003223A4"/>
    <w:rsid w:val="00323A45"/>
    <w:rsid w:val="00323E84"/>
    <w:rsid w:val="003252DC"/>
    <w:rsid w:val="00325926"/>
    <w:rsid w:val="00326572"/>
    <w:rsid w:val="00326C7B"/>
    <w:rsid w:val="00327A8A"/>
    <w:rsid w:val="00327F31"/>
    <w:rsid w:val="00331F15"/>
    <w:rsid w:val="0033295A"/>
    <w:rsid w:val="00333447"/>
    <w:rsid w:val="00335C36"/>
    <w:rsid w:val="00335DC3"/>
    <w:rsid w:val="00336610"/>
    <w:rsid w:val="003370E4"/>
    <w:rsid w:val="00337401"/>
    <w:rsid w:val="003406C9"/>
    <w:rsid w:val="0034170C"/>
    <w:rsid w:val="00342BF3"/>
    <w:rsid w:val="00343A2D"/>
    <w:rsid w:val="00343AF7"/>
    <w:rsid w:val="00343F73"/>
    <w:rsid w:val="00345060"/>
    <w:rsid w:val="00346377"/>
    <w:rsid w:val="003477B3"/>
    <w:rsid w:val="0035054C"/>
    <w:rsid w:val="00350ACB"/>
    <w:rsid w:val="00351444"/>
    <w:rsid w:val="003530EF"/>
    <w:rsid w:val="0035322D"/>
    <w:rsid w:val="0035323B"/>
    <w:rsid w:val="00353933"/>
    <w:rsid w:val="00355F31"/>
    <w:rsid w:val="00356920"/>
    <w:rsid w:val="00356C1D"/>
    <w:rsid w:val="00360055"/>
    <w:rsid w:val="003604BE"/>
    <w:rsid w:val="003609D2"/>
    <w:rsid w:val="00361C00"/>
    <w:rsid w:val="00361F78"/>
    <w:rsid w:val="00363819"/>
    <w:rsid w:val="00363D3B"/>
    <w:rsid w:val="00363F22"/>
    <w:rsid w:val="003640A6"/>
    <w:rsid w:val="00364E25"/>
    <w:rsid w:val="0037211D"/>
    <w:rsid w:val="00372F5C"/>
    <w:rsid w:val="003736E5"/>
    <w:rsid w:val="003741BB"/>
    <w:rsid w:val="003749E2"/>
    <w:rsid w:val="00375564"/>
    <w:rsid w:val="003758B5"/>
    <w:rsid w:val="00375B94"/>
    <w:rsid w:val="003760EC"/>
    <w:rsid w:val="003764F1"/>
    <w:rsid w:val="00381DC3"/>
    <w:rsid w:val="00383191"/>
    <w:rsid w:val="00383318"/>
    <w:rsid w:val="003833C0"/>
    <w:rsid w:val="0038368F"/>
    <w:rsid w:val="00384428"/>
    <w:rsid w:val="00384F4C"/>
    <w:rsid w:val="0038560C"/>
    <w:rsid w:val="00385EED"/>
    <w:rsid w:val="00386964"/>
    <w:rsid w:val="00386B8F"/>
    <w:rsid w:val="00386DED"/>
    <w:rsid w:val="00390398"/>
    <w:rsid w:val="00390BE4"/>
    <w:rsid w:val="003912E7"/>
    <w:rsid w:val="00391ABA"/>
    <w:rsid w:val="00392DD3"/>
    <w:rsid w:val="00392E9A"/>
    <w:rsid w:val="003932A7"/>
    <w:rsid w:val="00393947"/>
    <w:rsid w:val="00393C96"/>
    <w:rsid w:val="00396537"/>
    <w:rsid w:val="00396686"/>
    <w:rsid w:val="00397CA7"/>
    <w:rsid w:val="003A0E08"/>
    <w:rsid w:val="003A17DB"/>
    <w:rsid w:val="003A1EC6"/>
    <w:rsid w:val="003A2275"/>
    <w:rsid w:val="003A3744"/>
    <w:rsid w:val="003A6A4F"/>
    <w:rsid w:val="003A6CAF"/>
    <w:rsid w:val="003A7088"/>
    <w:rsid w:val="003B00DF"/>
    <w:rsid w:val="003B0495"/>
    <w:rsid w:val="003B0C43"/>
    <w:rsid w:val="003B1275"/>
    <w:rsid w:val="003B12A0"/>
    <w:rsid w:val="003B1403"/>
    <w:rsid w:val="003B1778"/>
    <w:rsid w:val="003B1B97"/>
    <w:rsid w:val="003B28B8"/>
    <w:rsid w:val="003B309A"/>
    <w:rsid w:val="003B5A33"/>
    <w:rsid w:val="003B74F7"/>
    <w:rsid w:val="003C0923"/>
    <w:rsid w:val="003C10FA"/>
    <w:rsid w:val="003C11CB"/>
    <w:rsid w:val="003C2E11"/>
    <w:rsid w:val="003C480D"/>
    <w:rsid w:val="003C4CA4"/>
    <w:rsid w:val="003C4F2C"/>
    <w:rsid w:val="003C57F5"/>
    <w:rsid w:val="003C6D75"/>
    <w:rsid w:val="003C75F3"/>
    <w:rsid w:val="003C78A3"/>
    <w:rsid w:val="003D0D09"/>
    <w:rsid w:val="003D1ABA"/>
    <w:rsid w:val="003D3342"/>
    <w:rsid w:val="003D3497"/>
    <w:rsid w:val="003D65CE"/>
    <w:rsid w:val="003D786F"/>
    <w:rsid w:val="003E052E"/>
    <w:rsid w:val="003E06C5"/>
    <w:rsid w:val="003E1867"/>
    <w:rsid w:val="003E2134"/>
    <w:rsid w:val="003E2179"/>
    <w:rsid w:val="003E3902"/>
    <w:rsid w:val="003E5729"/>
    <w:rsid w:val="003E5A87"/>
    <w:rsid w:val="003E63C6"/>
    <w:rsid w:val="003E74B5"/>
    <w:rsid w:val="003F0A18"/>
    <w:rsid w:val="003F268C"/>
    <w:rsid w:val="003F2F9E"/>
    <w:rsid w:val="003F393B"/>
    <w:rsid w:val="003F42A9"/>
    <w:rsid w:val="003F4E5A"/>
    <w:rsid w:val="003F4E71"/>
    <w:rsid w:val="003F4EE0"/>
    <w:rsid w:val="003F57EB"/>
    <w:rsid w:val="003F600A"/>
    <w:rsid w:val="003F6190"/>
    <w:rsid w:val="003F689C"/>
    <w:rsid w:val="003F6D55"/>
    <w:rsid w:val="003F781F"/>
    <w:rsid w:val="003F7B81"/>
    <w:rsid w:val="004007A6"/>
    <w:rsid w:val="00401532"/>
    <w:rsid w:val="0040157E"/>
    <w:rsid w:val="00401873"/>
    <w:rsid w:val="00401D54"/>
    <w:rsid w:val="00401E28"/>
    <w:rsid w:val="00402153"/>
    <w:rsid w:val="00402461"/>
    <w:rsid w:val="00402934"/>
    <w:rsid w:val="00402FC1"/>
    <w:rsid w:val="0040319A"/>
    <w:rsid w:val="00403255"/>
    <w:rsid w:val="004042C1"/>
    <w:rsid w:val="00404E3A"/>
    <w:rsid w:val="00404EB0"/>
    <w:rsid w:val="004051E2"/>
    <w:rsid w:val="00406219"/>
    <w:rsid w:val="0041130B"/>
    <w:rsid w:val="004122A4"/>
    <w:rsid w:val="00412E64"/>
    <w:rsid w:val="00414B50"/>
    <w:rsid w:val="00415F22"/>
    <w:rsid w:val="00417052"/>
    <w:rsid w:val="00417420"/>
    <w:rsid w:val="00422634"/>
    <w:rsid w:val="0042471D"/>
    <w:rsid w:val="00425059"/>
    <w:rsid w:val="00425082"/>
    <w:rsid w:val="00425644"/>
    <w:rsid w:val="004257B5"/>
    <w:rsid w:val="00430CE8"/>
    <w:rsid w:val="00431D10"/>
    <w:rsid w:val="00431DEB"/>
    <w:rsid w:val="00432156"/>
    <w:rsid w:val="004321C9"/>
    <w:rsid w:val="004321CA"/>
    <w:rsid w:val="00434355"/>
    <w:rsid w:val="0043484E"/>
    <w:rsid w:val="004352CD"/>
    <w:rsid w:val="00440047"/>
    <w:rsid w:val="004416DF"/>
    <w:rsid w:val="004421A7"/>
    <w:rsid w:val="004425E8"/>
    <w:rsid w:val="00443E78"/>
    <w:rsid w:val="00444F4A"/>
    <w:rsid w:val="00445D51"/>
    <w:rsid w:val="00445F47"/>
    <w:rsid w:val="00446B29"/>
    <w:rsid w:val="00446C4C"/>
    <w:rsid w:val="00447BCF"/>
    <w:rsid w:val="004505C8"/>
    <w:rsid w:val="00450A69"/>
    <w:rsid w:val="00450E29"/>
    <w:rsid w:val="0045381B"/>
    <w:rsid w:val="00453F9A"/>
    <w:rsid w:val="0045441B"/>
    <w:rsid w:val="0045454F"/>
    <w:rsid w:val="00454C08"/>
    <w:rsid w:val="00454E81"/>
    <w:rsid w:val="0045580D"/>
    <w:rsid w:val="00456C05"/>
    <w:rsid w:val="004571D5"/>
    <w:rsid w:val="00460582"/>
    <w:rsid w:val="00461565"/>
    <w:rsid w:val="00463D92"/>
    <w:rsid w:val="00464179"/>
    <w:rsid w:val="0046464D"/>
    <w:rsid w:val="004657FB"/>
    <w:rsid w:val="00467705"/>
    <w:rsid w:val="00467CDD"/>
    <w:rsid w:val="00471E91"/>
    <w:rsid w:val="00472A14"/>
    <w:rsid w:val="004730CE"/>
    <w:rsid w:val="0047333E"/>
    <w:rsid w:val="00473933"/>
    <w:rsid w:val="00473E39"/>
    <w:rsid w:val="0047418A"/>
    <w:rsid w:val="0047446D"/>
    <w:rsid w:val="00474675"/>
    <w:rsid w:val="0047470C"/>
    <w:rsid w:val="00474DDD"/>
    <w:rsid w:val="00474EA8"/>
    <w:rsid w:val="00474F14"/>
    <w:rsid w:val="004771D2"/>
    <w:rsid w:val="0047737B"/>
    <w:rsid w:val="00477499"/>
    <w:rsid w:val="004775C1"/>
    <w:rsid w:val="00477646"/>
    <w:rsid w:val="00480141"/>
    <w:rsid w:val="0048075A"/>
    <w:rsid w:val="0048233C"/>
    <w:rsid w:val="0048235D"/>
    <w:rsid w:val="00483AD0"/>
    <w:rsid w:val="004863BC"/>
    <w:rsid w:val="004864EB"/>
    <w:rsid w:val="004879D5"/>
    <w:rsid w:val="00487D62"/>
    <w:rsid w:val="004913D8"/>
    <w:rsid w:val="00491BEA"/>
    <w:rsid w:val="00492326"/>
    <w:rsid w:val="00492EB0"/>
    <w:rsid w:val="00493C6E"/>
    <w:rsid w:val="004976B1"/>
    <w:rsid w:val="00497AEB"/>
    <w:rsid w:val="00497EB4"/>
    <w:rsid w:val="004A08B9"/>
    <w:rsid w:val="004A13CA"/>
    <w:rsid w:val="004A3155"/>
    <w:rsid w:val="004A35F9"/>
    <w:rsid w:val="004A3ADE"/>
    <w:rsid w:val="004A3D01"/>
    <w:rsid w:val="004A44E7"/>
    <w:rsid w:val="004A4982"/>
    <w:rsid w:val="004A4BBE"/>
    <w:rsid w:val="004A4F1A"/>
    <w:rsid w:val="004A693C"/>
    <w:rsid w:val="004A74D6"/>
    <w:rsid w:val="004B04FB"/>
    <w:rsid w:val="004B095E"/>
    <w:rsid w:val="004B09EE"/>
    <w:rsid w:val="004B0ED2"/>
    <w:rsid w:val="004B0FB3"/>
    <w:rsid w:val="004B1718"/>
    <w:rsid w:val="004B24C1"/>
    <w:rsid w:val="004B351A"/>
    <w:rsid w:val="004B3BC0"/>
    <w:rsid w:val="004B4049"/>
    <w:rsid w:val="004B417D"/>
    <w:rsid w:val="004B4329"/>
    <w:rsid w:val="004B477B"/>
    <w:rsid w:val="004B4797"/>
    <w:rsid w:val="004B63BF"/>
    <w:rsid w:val="004C0298"/>
    <w:rsid w:val="004C148E"/>
    <w:rsid w:val="004C1B52"/>
    <w:rsid w:val="004C1BD3"/>
    <w:rsid w:val="004C1EB6"/>
    <w:rsid w:val="004C292F"/>
    <w:rsid w:val="004C2D86"/>
    <w:rsid w:val="004C549A"/>
    <w:rsid w:val="004C5B65"/>
    <w:rsid w:val="004C5BE3"/>
    <w:rsid w:val="004C6763"/>
    <w:rsid w:val="004C6813"/>
    <w:rsid w:val="004C68D4"/>
    <w:rsid w:val="004C776F"/>
    <w:rsid w:val="004D2238"/>
    <w:rsid w:val="004D30E7"/>
    <w:rsid w:val="004D3676"/>
    <w:rsid w:val="004D38C7"/>
    <w:rsid w:val="004D3F1D"/>
    <w:rsid w:val="004D43E9"/>
    <w:rsid w:val="004D47A6"/>
    <w:rsid w:val="004D4BF9"/>
    <w:rsid w:val="004D52B4"/>
    <w:rsid w:val="004D5382"/>
    <w:rsid w:val="004D53E0"/>
    <w:rsid w:val="004D5E5D"/>
    <w:rsid w:val="004D6734"/>
    <w:rsid w:val="004D6887"/>
    <w:rsid w:val="004E27C3"/>
    <w:rsid w:val="004E36C1"/>
    <w:rsid w:val="004E5D98"/>
    <w:rsid w:val="004E61F1"/>
    <w:rsid w:val="004E6619"/>
    <w:rsid w:val="004E6E3F"/>
    <w:rsid w:val="004F06AF"/>
    <w:rsid w:val="004F11B1"/>
    <w:rsid w:val="004F14BF"/>
    <w:rsid w:val="004F3E40"/>
    <w:rsid w:val="004F3F51"/>
    <w:rsid w:val="004F46D2"/>
    <w:rsid w:val="004F4B41"/>
    <w:rsid w:val="004F4C8D"/>
    <w:rsid w:val="004F5866"/>
    <w:rsid w:val="004F5CB6"/>
    <w:rsid w:val="004F6B92"/>
    <w:rsid w:val="004F765B"/>
    <w:rsid w:val="005006D2"/>
    <w:rsid w:val="005009DB"/>
    <w:rsid w:val="0050169C"/>
    <w:rsid w:val="00501B19"/>
    <w:rsid w:val="00503183"/>
    <w:rsid w:val="005040FA"/>
    <w:rsid w:val="00504F59"/>
    <w:rsid w:val="005066D0"/>
    <w:rsid w:val="005070FC"/>
    <w:rsid w:val="005073EE"/>
    <w:rsid w:val="00510280"/>
    <w:rsid w:val="005105C3"/>
    <w:rsid w:val="00510FEB"/>
    <w:rsid w:val="00511D3E"/>
    <w:rsid w:val="005127B2"/>
    <w:rsid w:val="00513D73"/>
    <w:rsid w:val="00514A43"/>
    <w:rsid w:val="00514A8F"/>
    <w:rsid w:val="0051588F"/>
    <w:rsid w:val="00516205"/>
    <w:rsid w:val="005165A4"/>
    <w:rsid w:val="005165ED"/>
    <w:rsid w:val="005167A3"/>
    <w:rsid w:val="00516F49"/>
    <w:rsid w:val="005174E5"/>
    <w:rsid w:val="005212BB"/>
    <w:rsid w:val="00521F7D"/>
    <w:rsid w:val="00521FB2"/>
    <w:rsid w:val="00522393"/>
    <w:rsid w:val="00522620"/>
    <w:rsid w:val="00522BBA"/>
    <w:rsid w:val="00522DC9"/>
    <w:rsid w:val="00522EEF"/>
    <w:rsid w:val="00525656"/>
    <w:rsid w:val="0052595D"/>
    <w:rsid w:val="00525F64"/>
    <w:rsid w:val="00526D20"/>
    <w:rsid w:val="00526FF2"/>
    <w:rsid w:val="005270ED"/>
    <w:rsid w:val="0052771C"/>
    <w:rsid w:val="00530C6D"/>
    <w:rsid w:val="0053142D"/>
    <w:rsid w:val="005317A3"/>
    <w:rsid w:val="0053192F"/>
    <w:rsid w:val="00531B96"/>
    <w:rsid w:val="00533073"/>
    <w:rsid w:val="0053308B"/>
    <w:rsid w:val="00533761"/>
    <w:rsid w:val="00534156"/>
    <w:rsid w:val="00534C02"/>
    <w:rsid w:val="005359EF"/>
    <w:rsid w:val="0053642A"/>
    <w:rsid w:val="00537966"/>
    <w:rsid w:val="00537F24"/>
    <w:rsid w:val="00540117"/>
    <w:rsid w:val="005407C4"/>
    <w:rsid w:val="005418A1"/>
    <w:rsid w:val="00541D64"/>
    <w:rsid w:val="0054264B"/>
    <w:rsid w:val="005431A7"/>
    <w:rsid w:val="00543786"/>
    <w:rsid w:val="00544141"/>
    <w:rsid w:val="005442BA"/>
    <w:rsid w:val="0054450C"/>
    <w:rsid w:val="0054507F"/>
    <w:rsid w:val="005462ED"/>
    <w:rsid w:val="00546807"/>
    <w:rsid w:val="00546D15"/>
    <w:rsid w:val="005470D4"/>
    <w:rsid w:val="00547207"/>
    <w:rsid w:val="00547D5D"/>
    <w:rsid w:val="005501E7"/>
    <w:rsid w:val="00550DE8"/>
    <w:rsid w:val="0055152F"/>
    <w:rsid w:val="00551903"/>
    <w:rsid w:val="00551E47"/>
    <w:rsid w:val="00552155"/>
    <w:rsid w:val="005521DF"/>
    <w:rsid w:val="00552586"/>
    <w:rsid w:val="005533D7"/>
    <w:rsid w:val="0055446C"/>
    <w:rsid w:val="00554D0B"/>
    <w:rsid w:val="0055726B"/>
    <w:rsid w:val="00557927"/>
    <w:rsid w:val="00560E90"/>
    <w:rsid w:val="005617EC"/>
    <w:rsid w:val="0056218B"/>
    <w:rsid w:val="00562E45"/>
    <w:rsid w:val="00563668"/>
    <w:rsid w:val="00565029"/>
    <w:rsid w:val="005650E3"/>
    <w:rsid w:val="0056553C"/>
    <w:rsid w:val="005655F6"/>
    <w:rsid w:val="00566397"/>
    <w:rsid w:val="00566B09"/>
    <w:rsid w:val="005679A8"/>
    <w:rsid w:val="005703DE"/>
    <w:rsid w:val="0057078F"/>
    <w:rsid w:val="00571E4A"/>
    <w:rsid w:val="00574BFC"/>
    <w:rsid w:val="00575716"/>
    <w:rsid w:val="00576468"/>
    <w:rsid w:val="005800D3"/>
    <w:rsid w:val="00580F1B"/>
    <w:rsid w:val="00582799"/>
    <w:rsid w:val="00582827"/>
    <w:rsid w:val="005832B4"/>
    <w:rsid w:val="0058464E"/>
    <w:rsid w:val="0058493E"/>
    <w:rsid w:val="00584B4A"/>
    <w:rsid w:val="00584C51"/>
    <w:rsid w:val="00585530"/>
    <w:rsid w:val="005869C5"/>
    <w:rsid w:val="00587357"/>
    <w:rsid w:val="00591A88"/>
    <w:rsid w:val="00592D71"/>
    <w:rsid w:val="00592FCE"/>
    <w:rsid w:val="00593B48"/>
    <w:rsid w:val="00595C84"/>
    <w:rsid w:val="0059709E"/>
    <w:rsid w:val="005A01CB"/>
    <w:rsid w:val="005A1D9F"/>
    <w:rsid w:val="005A3602"/>
    <w:rsid w:val="005A362E"/>
    <w:rsid w:val="005A58AD"/>
    <w:rsid w:val="005A58FF"/>
    <w:rsid w:val="005A5EAF"/>
    <w:rsid w:val="005A64C0"/>
    <w:rsid w:val="005A6EAC"/>
    <w:rsid w:val="005B1837"/>
    <w:rsid w:val="005B1BCF"/>
    <w:rsid w:val="005B2A24"/>
    <w:rsid w:val="005B363F"/>
    <w:rsid w:val="005B3C11"/>
    <w:rsid w:val="005B41CB"/>
    <w:rsid w:val="005B45A0"/>
    <w:rsid w:val="005B4624"/>
    <w:rsid w:val="005B5305"/>
    <w:rsid w:val="005B5B62"/>
    <w:rsid w:val="005B66D1"/>
    <w:rsid w:val="005B6707"/>
    <w:rsid w:val="005C0B77"/>
    <w:rsid w:val="005C0D51"/>
    <w:rsid w:val="005C1764"/>
    <w:rsid w:val="005C1C28"/>
    <w:rsid w:val="005C2433"/>
    <w:rsid w:val="005C4112"/>
    <w:rsid w:val="005C43EA"/>
    <w:rsid w:val="005C513D"/>
    <w:rsid w:val="005C5219"/>
    <w:rsid w:val="005C525E"/>
    <w:rsid w:val="005C6355"/>
    <w:rsid w:val="005C6DB5"/>
    <w:rsid w:val="005D193A"/>
    <w:rsid w:val="005D3124"/>
    <w:rsid w:val="005D7A34"/>
    <w:rsid w:val="005E001B"/>
    <w:rsid w:val="005E03B2"/>
    <w:rsid w:val="005E0602"/>
    <w:rsid w:val="005E0A50"/>
    <w:rsid w:val="005E1494"/>
    <w:rsid w:val="005E19E7"/>
    <w:rsid w:val="005E1F13"/>
    <w:rsid w:val="005E2418"/>
    <w:rsid w:val="005E4378"/>
    <w:rsid w:val="005E4F14"/>
    <w:rsid w:val="005E55CA"/>
    <w:rsid w:val="005E605B"/>
    <w:rsid w:val="005E6986"/>
    <w:rsid w:val="005F0D35"/>
    <w:rsid w:val="005F1738"/>
    <w:rsid w:val="005F2537"/>
    <w:rsid w:val="005F4C39"/>
    <w:rsid w:val="005F4D72"/>
    <w:rsid w:val="005F53D5"/>
    <w:rsid w:val="005F6250"/>
    <w:rsid w:val="005F6ECC"/>
    <w:rsid w:val="0060092B"/>
    <w:rsid w:val="00600C90"/>
    <w:rsid w:val="00600D02"/>
    <w:rsid w:val="00603B16"/>
    <w:rsid w:val="00604D0A"/>
    <w:rsid w:val="00607DA7"/>
    <w:rsid w:val="0061113F"/>
    <w:rsid w:val="006114DA"/>
    <w:rsid w:val="00613379"/>
    <w:rsid w:val="00614574"/>
    <w:rsid w:val="006157A6"/>
    <w:rsid w:val="00615B6B"/>
    <w:rsid w:val="00616F0F"/>
    <w:rsid w:val="0061716C"/>
    <w:rsid w:val="0061786C"/>
    <w:rsid w:val="00617BA6"/>
    <w:rsid w:val="00620956"/>
    <w:rsid w:val="00620BF1"/>
    <w:rsid w:val="00621C4D"/>
    <w:rsid w:val="006243A1"/>
    <w:rsid w:val="00624690"/>
    <w:rsid w:val="00624821"/>
    <w:rsid w:val="006275F8"/>
    <w:rsid w:val="00627BC9"/>
    <w:rsid w:val="0063089F"/>
    <w:rsid w:val="006308BD"/>
    <w:rsid w:val="00630931"/>
    <w:rsid w:val="00630A2E"/>
    <w:rsid w:val="0063144B"/>
    <w:rsid w:val="0063177B"/>
    <w:rsid w:val="00631C00"/>
    <w:rsid w:val="00631F25"/>
    <w:rsid w:val="00632330"/>
    <w:rsid w:val="00632E56"/>
    <w:rsid w:val="0063386E"/>
    <w:rsid w:val="00633B51"/>
    <w:rsid w:val="006346C8"/>
    <w:rsid w:val="00635CBA"/>
    <w:rsid w:val="00637421"/>
    <w:rsid w:val="00637A46"/>
    <w:rsid w:val="00641345"/>
    <w:rsid w:val="00641B65"/>
    <w:rsid w:val="006424FE"/>
    <w:rsid w:val="00642C8E"/>
    <w:rsid w:val="00642CAF"/>
    <w:rsid w:val="0064338B"/>
    <w:rsid w:val="006452C6"/>
    <w:rsid w:val="00645C92"/>
    <w:rsid w:val="00646542"/>
    <w:rsid w:val="00646C71"/>
    <w:rsid w:val="006501E9"/>
    <w:rsid w:val="006504F4"/>
    <w:rsid w:val="006508B6"/>
    <w:rsid w:val="006509E3"/>
    <w:rsid w:val="00650C9A"/>
    <w:rsid w:val="00651333"/>
    <w:rsid w:val="00652CBC"/>
    <w:rsid w:val="00654091"/>
    <w:rsid w:val="00654BC9"/>
    <w:rsid w:val="00654F18"/>
    <w:rsid w:val="006552FD"/>
    <w:rsid w:val="00655FBA"/>
    <w:rsid w:val="00656687"/>
    <w:rsid w:val="00656944"/>
    <w:rsid w:val="006601A7"/>
    <w:rsid w:val="00663AF3"/>
    <w:rsid w:val="00664C9E"/>
    <w:rsid w:val="00666B6C"/>
    <w:rsid w:val="00667909"/>
    <w:rsid w:val="00667BAE"/>
    <w:rsid w:val="00667CFA"/>
    <w:rsid w:val="00667DB1"/>
    <w:rsid w:val="006711AA"/>
    <w:rsid w:val="006719ED"/>
    <w:rsid w:val="006734EB"/>
    <w:rsid w:val="00675B4E"/>
    <w:rsid w:val="00677AB7"/>
    <w:rsid w:val="006811F0"/>
    <w:rsid w:val="00681EE3"/>
    <w:rsid w:val="00682682"/>
    <w:rsid w:val="00682702"/>
    <w:rsid w:val="00682989"/>
    <w:rsid w:val="00682CAE"/>
    <w:rsid w:val="006834E6"/>
    <w:rsid w:val="00685218"/>
    <w:rsid w:val="00686C3A"/>
    <w:rsid w:val="00687180"/>
    <w:rsid w:val="00690108"/>
    <w:rsid w:val="00690876"/>
    <w:rsid w:val="00692368"/>
    <w:rsid w:val="0069392A"/>
    <w:rsid w:val="00693CE7"/>
    <w:rsid w:val="006963F5"/>
    <w:rsid w:val="00697486"/>
    <w:rsid w:val="0069766B"/>
    <w:rsid w:val="00697A06"/>
    <w:rsid w:val="00697FAF"/>
    <w:rsid w:val="006A03FB"/>
    <w:rsid w:val="006A0BC3"/>
    <w:rsid w:val="006A16EC"/>
    <w:rsid w:val="006A1B30"/>
    <w:rsid w:val="006A1B9A"/>
    <w:rsid w:val="006A21FE"/>
    <w:rsid w:val="006A2EBC"/>
    <w:rsid w:val="006A3259"/>
    <w:rsid w:val="006A4B56"/>
    <w:rsid w:val="006A5EA0"/>
    <w:rsid w:val="006A67CA"/>
    <w:rsid w:val="006A6BCA"/>
    <w:rsid w:val="006A6DDD"/>
    <w:rsid w:val="006A783B"/>
    <w:rsid w:val="006A7B33"/>
    <w:rsid w:val="006B4B54"/>
    <w:rsid w:val="006B4E13"/>
    <w:rsid w:val="006B50A7"/>
    <w:rsid w:val="006B5FC8"/>
    <w:rsid w:val="006B6754"/>
    <w:rsid w:val="006B6BA5"/>
    <w:rsid w:val="006B75DD"/>
    <w:rsid w:val="006C0775"/>
    <w:rsid w:val="006C114B"/>
    <w:rsid w:val="006C149E"/>
    <w:rsid w:val="006C14EE"/>
    <w:rsid w:val="006C2165"/>
    <w:rsid w:val="006C4E08"/>
    <w:rsid w:val="006C512C"/>
    <w:rsid w:val="006C618D"/>
    <w:rsid w:val="006C670D"/>
    <w:rsid w:val="006C675D"/>
    <w:rsid w:val="006C67E0"/>
    <w:rsid w:val="006C6A7D"/>
    <w:rsid w:val="006C6F80"/>
    <w:rsid w:val="006C7ABA"/>
    <w:rsid w:val="006C7CED"/>
    <w:rsid w:val="006D0D4C"/>
    <w:rsid w:val="006D0D60"/>
    <w:rsid w:val="006D1122"/>
    <w:rsid w:val="006D1E8F"/>
    <w:rsid w:val="006D22E1"/>
    <w:rsid w:val="006D2DF8"/>
    <w:rsid w:val="006D3C00"/>
    <w:rsid w:val="006D4639"/>
    <w:rsid w:val="006D471A"/>
    <w:rsid w:val="006D4B04"/>
    <w:rsid w:val="006D55DF"/>
    <w:rsid w:val="006D6CF4"/>
    <w:rsid w:val="006D6D48"/>
    <w:rsid w:val="006D7D1C"/>
    <w:rsid w:val="006E0765"/>
    <w:rsid w:val="006E3675"/>
    <w:rsid w:val="006E442F"/>
    <w:rsid w:val="006E45A0"/>
    <w:rsid w:val="006E4A7F"/>
    <w:rsid w:val="006E4C22"/>
    <w:rsid w:val="006E7830"/>
    <w:rsid w:val="006F0E87"/>
    <w:rsid w:val="006F27B4"/>
    <w:rsid w:val="006F2E97"/>
    <w:rsid w:val="006F4098"/>
    <w:rsid w:val="006F489C"/>
    <w:rsid w:val="006F4B47"/>
    <w:rsid w:val="006F511E"/>
    <w:rsid w:val="007040C1"/>
    <w:rsid w:val="00704DF6"/>
    <w:rsid w:val="00705067"/>
    <w:rsid w:val="0070509D"/>
    <w:rsid w:val="0070651C"/>
    <w:rsid w:val="007071E9"/>
    <w:rsid w:val="0070723D"/>
    <w:rsid w:val="00707E00"/>
    <w:rsid w:val="0071019F"/>
    <w:rsid w:val="0071029E"/>
    <w:rsid w:val="007126A3"/>
    <w:rsid w:val="00713155"/>
    <w:rsid w:val="007132A3"/>
    <w:rsid w:val="0071532C"/>
    <w:rsid w:val="00715A79"/>
    <w:rsid w:val="00716421"/>
    <w:rsid w:val="007169CE"/>
    <w:rsid w:val="00720C21"/>
    <w:rsid w:val="007216B0"/>
    <w:rsid w:val="00724EFB"/>
    <w:rsid w:val="007307B7"/>
    <w:rsid w:val="00731619"/>
    <w:rsid w:val="00733A4B"/>
    <w:rsid w:val="00734189"/>
    <w:rsid w:val="00736752"/>
    <w:rsid w:val="00736A6D"/>
    <w:rsid w:val="007419C3"/>
    <w:rsid w:val="00741B7B"/>
    <w:rsid w:val="00742050"/>
    <w:rsid w:val="0074206C"/>
    <w:rsid w:val="00742270"/>
    <w:rsid w:val="00742D0B"/>
    <w:rsid w:val="00742D81"/>
    <w:rsid w:val="00743207"/>
    <w:rsid w:val="00744F22"/>
    <w:rsid w:val="007460F3"/>
    <w:rsid w:val="007467A7"/>
    <w:rsid w:val="007468D4"/>
    <w:rsid w:val="007469AD"/>
    <w:rsid w:val="007469DD"/>
    <w:rsid w:val="00747287"/>
    <w:rsid w:val="0074741B"/>
    <w:rsid w:val="0074751A"/>
    <w:rsid w:val="0074759E"/>
    <w:rsid w:val="007478EA"/>
    <w:rsid w:val="00751111"/>
    <w:rsid w:val="00751546"/>
    <w:rsid w:val="00751786"/>
    <w:rsid w:val="0075356C"/>
    <w:rsid w:val="0075415C"/>
    <w:rsid w:val="007547EB"/>
    <w:rsid w:val="00754A31"/>
    <w:rsid w:val="007558F8"/>
    <w:rsid w:val="00756E5A"/>
    <w:rsid w:val="00757458"/>
    <w:rsid w:val="00757D16"/>
    <w:rsid w:val="00761236"/>
    <w:rsid w:val="007616A6"/>
    <w:rsid w:val="00763502"/>
    <w:rsid w:val="00763860"/>
    <w:rsid w:val="00763E6F"/>
    <w:rsid w:val="007645FF"/>
    <w:rsid w:val="00764C34"/>
    <w:rsid w:val="007665F9"/>
    <w:rsid w:val="00770432"/>
    <w:rsid w:val="007717FC"/>
    <w:rsid w:val="00771B2B"/>
    <w:rsid w:val="00771B93"/>
    <w:rsid w:val="00772451"/>
    <w:rsid w:val="0077426E"/>
    <w:rsid w:val="0077450C"/>
    <w:rsid w:val="007754A9"/>
    <w:rsid w:val="00775ACF"/>
    <w:rsid w:val="007808A0"/>
    <w:rsid w:val="00781481"/>
    <w:rsid w:val="00781503"/>
    <w:rsid w:val="00781BA1"/>
    <w:rsid w:val="00781DAB"/>
    <w:rsid w:val="00783FFA"/>
    <w:rsid w:val="00784CC7"/>
    <w:rsid w:val="00785EFF"/>
    <w:rsid w:val="0078630A"/>
    <w:rsid w:val="00786EA5"/>
    <w:rsid w:val="007913AB"/>
    <w:rsid w:val="007914F7"/>
    <w:rsid w:val="007927CC"/>
    <w:rsid w:val="007932F7"/>
    <w:rsid w:val="00793F8C"/>
    <w:rsid w:val="00794352"/>
    <w:rsid w:val="007974A0"/>
    <w:rsid w:val="00797F2A"/>
    <w:rsid w:val="007A0177"/>
    <w:rsid w:val="007A0293"/>
    <w:rsid w:val="007A2AF4"/>
    <w:rsid w:val="007A3265"/>
    <w:rsid w:val="007A4519"/>
    <w:rsid w:val="007A4A5A"/>
    <w:rsid w:val="007A53DC"/>
    <w:rsid w:val="007A54FE"/>
    <w:rsid w:val="007A554D"/>
    <w:rsid w:val="007A591F"/>
    <w:rsid w:val="007A5BE0"/>
    <w:rsid w:val="007B008E"/>
    <w:rsid w:val="007B06C9"/>
    <w:rsid w:val="007B1625"/>
    <w:rsid w:val="007B56D6"/>
    <w:rsid w:val="007B5EE9"/>
    <w:rsid w:val="007B706E"/>
    <w:rsid w:val="007B71EB"/>
    <w:rsid w:val="007C157E"/>
    <w:rsid w:val="007C3E4D"/>
    <w:rsid w:val="007C41DE"/>
    <w:rsid w:val="007C4802"/>
    <w:rsid w:val="007C5140"/>
    <w:rsid w:val="007C5AAB"/>
    <w:rsid w:val="007C6205"/>
    <w:rsid w:val="007C686A"/>
    <w:rsid w:val="007C6D2A"/>
    <w:rsid w:val="007C7048"/>
    <w:rsid w:val="007C728E"/>
    <w:rsid w:val="007C7C77"/>
    <w:rsid w:val="007D2A8A"/>
    <w:rsid w:val="007D2C53"/>
    <w:rsid w:val="007D321C"/>
    <w:rsid w:val="007D3648"/>
    <w:rsid w:val="007D3D60"/>
    <w:rsid w:val="007D3F6C"/>
    <w:rsid w:val="007D4A35"/>
    <w:rsid w:val="007D7694"/>
    <w:rsid w:val="007E1980"/>
    <w:rsid w:val="007E2C16"/>
    <w:rsid w:val="007E4A1D"/>
    <w:rsid w:val="007E4B76"/>
    <w:rsid w:val="007E5816"/>
    <w:rsid w:val="007E5EA8"/>
    <w:rsid w:val="007E6607"/>
    <w:rsid w:val="007E67CC"/>
    <w:rsid w:val="007E6837"/>
    <w:rsid w:val="007E784B"/>
    <w:rsid w:val="007E7A1C"/>
    <w:rsid w:val="007E7B8D"/>
    <w:rsid w:val="007F03F2"/>
    <w:rsid w:val="007F0CF1"/>
    <w:rsid w:val="007F1187"/>
    <w:rsid w:val="007F12A5"/>
    <w:rsid w:val="007F18F9"/>
    <w:rsid w:val="007F24E8"/>
    <w:rsid w:val="007F3F18"/>
    <w:rsid w:val="007F3F5D"/>
    <w:rsid w:val="007F4CF1"/>
    <w:rsid w:val="007F555C"/>
    <w:rsid w:val="007F6E26"/>
    <w:rsid w:val="007F758D"/>
    <w:rsid w:val="007F7D52"/>
    <w:rsid w:val="00800953"/>
    <w:rsid w:val="0080126B"/>
    <w:rsid w:val="0080316E"/>
    <w:rsid w:val="008042CE"/>
    <w:rsid w:val="00805358"/>
    <w:rsid w:val="00805AAA"/>
    <w:rsid w:val="0080654C"/>
    <w:rsid w:val="0080699E"/>
    <w:rsid w:val="008071C6"/>
    <w:rsid w:val="00807589"/>
    <w:rsid w:val="00811AA6"/>
    <w:rsid w:val="008130C6"/>
    <w:rsid w:val="008162CD"/>
    <w:rsid w:val="008168EC"/>
    <w:rsid w:val="00817436"/>
    <w:rsid w:val="00817A00"/>
    <w:rsid w:val="00822947"/>
    <w:rsid w:val="00822C86"/>
    <w:rsid w:val="0082598B"/>
    <w:rsid w:val="00825A4D"/>
    <w:rsid w:val="00826166"/>
    <w:rsid w:val="00826236"/>
    <w:rsid w:val="008272D1"/>
    <w:rsid w:val="00830F60"/>
    <w:rsid w:val="00833E6B"/>
    <w:rsid w:val="00833EF4"/>
    <w:rsid w:val="00833FAE"/>
    <w:rsid w:val="00835DB3"/>
    <w:rsid w:val="0083617B"/>
    <w:rsid w:val="008371BD"/>
    <w:rsid w:val="00840750"/>
    <w:rsid w:val="00842FA4"/>
    <w:rsid w:val="00843758"/>
    <w:rsid w:val="00843850"/>
    <w:rsid w:val="00844473"/>
    <w:rsid w:val="00844A45"/>
    <w:rsid w:val="00844DF8"/>
    <w:rsid w:val="00844E5A"/>
    <w:rsid w:val="00847815"/>
    <w:rsid w:val="00847C58"/>
    <w:rsid w:val="008504A8"/>
    <w:rsid w:val="00851291"/>
    <w:rsid w:val="0085207F"/>
    <w:rsid w:val="0085282E"/>
    <w:rsid w:val="0085427C"/>
    <w:rsid w:val="00855371"/>
    <w:rsid w:val="00855EE8"/>
    <w:rsid w:val="00856E05"/>
    <w:rsid w:val="00856E07"/>
    <w:rsid w:val="00857E3D"/>
    <w:rsid w:val="00857EA9"/>
    <w:rsid w:val="00860F5A"/>
    <w:rsid w:val="00861728"/>
    <w:rsid w:val="00861C86"/>
    <w:rsid w:val="0086265F"/>
    <w:rsid w:val="0086411F"/>
    <w:rsid w:val="00865D5F"/>
    <w:rsid w:val="008661A8"/>
    <w:rsid w:val="00867F05"/>
    <w:rsid w:val="0087031E"/>
    <w:rsid w:val="00870445"/>
    <w:rsid w:val="0087198C"/>
    <w:rsid w:val="00872C1F"/>
    <w:rsid w:val="0087343F"/>
    <w:rsid w:val="0087369C"/>
    <w:rsid w:val="00873B42"/>
    <w:rsid w:val="0087441E"/>
    <w:rsid w:val="00875972"/>
    <w:rsid w:val="00876A98"/>
    <w:rsid w:val="00876DE7"/>
    <w:rsid w:val="00877505"/>
    <w:rsid w:val="00877CA2"/>
    <w:rsid w:val="0088062D"/>
    <w:rsid w:val="00880743"/>
    <w:rsid w:val="0088094B"/>
    <w:rsid w:val="008856D8"/>
    <w:rsid w:val="008914D6"/>
    <w:rsid w:val="0089192B"/>
    <w:rsid w:val="00892E82"/>
    <w:rsid w:val="0089328B"/>
    <w:rsid w:val="00894CC3"/>
    <w:rsid w:val="0089546B"/>
    <w:rsid w:val="00895D6A"/>
    <w:rsid w:val="00896368"/>
    <w:rsid w:val="0089660A"/>
    <w:rsid w:val="00897281"/>
    <w:rsid w:val="008A0F94"/>
    <w:rsid w:val="008A12D8"/>
    <w:rsid w:val="008A3EA4"/>
    <w:rsid w:val="008A5AC5"/>
    <w:rsid w:val="008A6D3B"/>
    <w:rsid w:val="008A7781"/>
    <w:rsid w:val="008A7BCF"/>
    <w:rsid w:val="008B12F1"/>
    <w:rsid w:val="008B3684"/>
    <w:rsid w:val="008B3A00"/>
    <w:rsid w:val="008B3B7B"/>
    <w:rsid w:val="008B3E79"/>
    <w:rsid w:val="008B5262"/>
    <w:rsid w:val="008B5DCB"/>
    <w:rsid w:val="008B5DEA"/>
    <w:rsid w:val="008B5F31"/>
    <w:rsid w:val="008B6913"/>
    <w:rsid w:val="008B6BAE"/>
    <w:rsid w:val="008C1B58"/>
    <w:rsid w:val="008C306E"/>
    <w:rsid w:val="008C34B3"/>
    <w:rsid w:val="008C34D7"/>
    <w:rsid w:val="008C39AE"/>
    <w:rsid w:val="008C4B3F"/>
    <w:rsid w:val="008C55A3"/>
    <w:rsid w:val="008C590D"/>
    <w:rsid w:val="008C69F3"/>
    <w:rsid w:val="008C6B7C"/>
    <w:rsid w:val="008C755D"/>
    <w:rsid w:val="008D1290"/>
    <w:rsid w:val="008D207B"/>
    <w:rsid w:val="008D4513"/>
    <w:rsid w:val="008D4D17"/>
    <w:rsid w:val="008D5046"/>
    <w:rsid w:val="008D6052"/>
    <w:rsid w:val="008D6FFA"/>
    <w:rsid w:val="008D7350"/>
    <w:rsid w:val="008D737F"/>
    <w:rsid w:val="008E031B"/>
    <w:rsid w:val="008E0BF5"/>
    <w:rsid w:val="008E0E18"/>
    <w:rsid w:val="008E3B13"/>
    <w:rsid w:val="008E3E93"/>
    <w:rsid w:val="008E4605"/>
    <w:rsid w:val="008E4AF4"/>
    <w:rsid w:val="008E7029"/>
    <w:rsid w:val="008E7C09"/>
    <w:rsid w:val="008E7EF6"/>
    <w:rsid w:val="008F030B"/>
    <w:rsid w:val="008F1A1D"/>
    <w:rsid w:val="008F1E7A"/>
    <w:rsid w:val="008F1F98"/>
    <w:rsid w:val="008F2B5D"/>
    <w:rsid w:val="008F3724"/>
    <w:rsid w:val="008F373D"/>
    <w:rsid w:val="008F57CE"/>
    <w:rsid w:val="008F5C9D"/>
    <w:rsid w:val="008F6744"/>
    <w:rsid w:val="008F6758"/>
    <w:rsid w:val="008F6CF8"/>
    <w:rsid w:val="008F734B"/>
    <w:rsid w:val="008F76F7"/>
    <w:rsid w:val="0090228B"/>
    <w:rsid w:val="00903E22"/>
    <w:rsid w:val="0090401C"/>
    <w:rsid w:val="009040DD"/>
    <w:rsid w:val="00904446"/>
    <w:rsid w:val="00905407"/>
    <w:rsid w:val="00905B47"/>
    <w:rsid w:val="00905F00"/>
    <w:rsid w:val="00906315"/>
    <w:rsid w:val="0090676C"/>
    <w:rsid w:val="00906C80"/>
    <w:rsid w:val="00907120"/>
    <w:rsid w:val="0090786E"/>
    <w:rsid w:val="00907D42"/>
    <w:rsid w:val="00911AEA"/>
    <w:rsid w:val="0091331C"/>
    <w:rsid w:val="009137F8"/>
    <w:rsid w:val="00913A34"/>
    <w:rsid w:val="00913AA5"/>
    <w:rsid w:val="00914C7D"/>
    <w:rsid w:val="0091500F"/>
    <w:rsid w:val="009150A8"/>
    <w:rsid w:val="00915260"/>
    <w:rsid w:val="0091564C"/>
    <w:rsid w:val="009177F3"/>
    <w:rsid w:val="009179D2"/>
    <w:rsid w:val="0092265F"/>
    <w:rsid w:val="00922A57"/>
    <w:rsid w:val="00923A34"/>
    <w:rsid w:val="00925F30"/>
    <w:rsid w:val="00926D19"/>
    <w:rsid w:val="009279DE"/>
    <w:rsid w:val="00930116"/>
    <w:rsid w:val="009304E2"/>
    <w:rsid w:val="00935868"/>
    <w:rsid w:val="00935BCB"/>
    <w:rsid w:val="00940497"/>
    <w:rsid w:val="00941092"/>
    <w:rsid w:val="00941E99"/>
    <w:rsid w:val="0094212C"/>
    <w:rsid w:val="0094265B"/>
    <w:rsid w:val="00942973"/>
    <w:rsid w:val="00943979"/>
    <w:rsid w:val="00943F07"/>
    <w:rsid w:val="00944EC6"/>
    <w:rsid w:val="00947143"/>
    <w:rsid w:val="00947229"/>
    <w:rsid w:val="00950E09"/>
    <w:rsid w:val="0095181E"/>
    <w:rsid w:val="00951CB6"/>
    <w:rsid w:val="00951F27"/>
    <w:rsid w:val="00952478"/>
    <w:rsid w:val="00952EA0"/>
    <w:rsid w:val="00953C70"/>
    <w:rsid w:val="00953CBC"/>
    <w:rsid w:val="00954689"/>
    <w:rsid w:val="009548D0"/>
    <w:rsid w:val="00957F18"/>
    <w:rsid w:val="00960193"/>
    <w:rsid w:val="00960447"/>
    <w:rsid w:val="009617C9"/>
    <w:rsid w:val="00961C93"/>
    <w:rsid w:val="00961E34"/>
    <w:rsid w:val="00962073"/>
    <w:rsid w:val="00962461"/>
    <w:rsid w:val="00962B79"/>
    <w:rsid w:val="00962EF3"/>
    <w:rsid w:val="009631CB"/>
    <w:rsid w:val="0096335C"/>
    <w:rsid w:val="00963A60"/>
    <w:rsid w:val="00964444"/>
    <w:rsid w:val="0096467A"/>
    <w:rsid w:val="00964996"/>
    <w:rsid w:val="00965108"/>
    <w:rsid w:val="00965324"/>
    <w:rsid w:val="00965B16"/>
    <w:rsid w:val="00970590"/>
    <w:rsid w:val="0097091E"/>
    <w:rsid w:val="00970BF5"/>
    <w:rsid w:val="00970D4B"/>
    <w:rsid w:val="0097137D"/>
    <w:rsid w:val="00972777"/>
    <w:rsid w:val="0097393C"/>
    <w:rsid w:val="0097537A"/>
    <w:rsid w:val="0097591F"/>
    <w:rsid w:val="009760D3"/>
    <w:rsid w:val="00977132"/>
    <w:rsid w:val="00977E6E"/>
    <w:rsid w:val="00980D2A"/>
    <w:rsid w:val="0098164E"/>
    <w:rsid w:val="00981A4B"/>
    <w:rsid w:val="00982501"/>
    <w:rsid w:val="0098295C"/>
    <w:rsid w:val="00983F2C"/>
    <w:rsid w:val="00984B2B"/>
    <w:rsid w:val="009865AE"/>
    <w:rsid w:val="00986CEB"/>
    <w:rsid w:val="009877D3"/>
    <w:rsid w:val="0098783E"/>
    <w:rsid w:val="00987ED9"/>
    <w:rsid w:val="00987F74"/>
    <w:rsid w:val="00991584"/>
    <w:rsid w:val="00991E6D"/>
    <w:rsid w:val="00994032"/>
    <w:rsid w:val="00994451"/>
    <w:rsid w:val="0099471D"/>
    <w:rsid w:val="00994E8F"/>
    <w:rsid w:val="009951DC"/>
    <w:rsid w:val="009959BB"/>
    <w:rsid w:val="009959EB"/>
    <w:rsid w:val="00996005"/>
    <w:rsid w:val="00997158"/>
    <w:rsid w:val="009A0F16"/>
    <w:rsid w:val="009A3A7C"/>
    <w:rsid w:val="009A6206"/>
    <w:rsid w:val="009A6612"/>
    <w:rsid w:val="009B00FC"/>
    <w:rsid w:val="009B1A99"/>
    <w:rsid w:val="009B1FAD"/>
    <w:rsid w:val="009B2ADB"/>
    <w:rsid w:val="009B2E24"/>
    <w:rsid w:val="009B310A"/>
    <w:rsid w:val="009B3BD2"/>
    <w:rsid w:val="009B59B7"/>
    <w:rsid w:val="009B5F75"/>
    <w:rsid w:val="009B603A"/>
    <w:rsid w:val="009B7C1D"/>
    <w:rsid w:val="009B7FA2"/>
    <w:rsid w:val="009C1191"/>
    <w:rsid w:val="009C1211"/>
    <w:rsid w:val="009C2D0E"/>
    <w:rsid w:val="009C2F4D"/>
    <w:rsid w:val="009C331E"/>
    <w:rsid w:val="009C3DAC"/>
    <w:rsid w:val="009C42E0"/>
    <w:rsid w:val="009C448C"/>
    <w:rsid w:val="009C53F1"/>
    <w:rsid w:val="009D08CC"/>
    <w:rsid w:val="009D22DA"/>
    <w:rsid w:val="009D22EC"/>
    <w:rsid w:val="009D2301"/>
    <w:rsid w:val="009D260D"/>
    <w:rsid w:val="009D3235"/>
    <w:rsid w:val="009D5362"/>
    <w:rsid w:val="009D60A4"/>
    <w:rsid w:val="009D665D"/>
    <w:rsid w:val="009D677A"/>
    <w:rsid w:val="009D69E5"/>
    <w:rsid w:val="009D7ED5"/>
    <w:rsid w:val="009E1415"/>
    <w:rsid w:val="009E1F5F"/>
    <w:rsid w:val="009E209C"/>
    <w:rsid w:val="009E2391"/>
    <w:rsid w:val="009E26EE"/>
    <w:rsid w:val="009E3816"/>
    <w:rsid w:val="009E3B2C"/>
    <w:rsid w:val="009E6116"/>
    <w:rsid w:val="009E6C31"/>
    <w:rsid w:val="009E7BF9"/>
    <w:rsid w:val="009E7CA8"/>
    <w:rsid w:val="009F08F2"/>
    <w:rsid w:val="009F1787"/>
    <w:rsid w:val="009F2330"/>
    <w:rsid w:val="009F26D1"/>
    <w:rsid w:val="009F27EF"/>
    <w:rsid w:val="009F4158"/>
    <w:rsid w:val="009F4D63"/>
    <w:rsid w:val="009F73BE"/>
    <w:rsid w:val="00A00CB9"/>
    <w:rsid w:val="00A02767"/>
    <w:rsid w:val="00A02E43"/>
    <w:rsid w:val="00A05AA3"/>
    <w:rsid w:val="00A05FB0"/>
    <w:rsid w:val="00A065F9"/>
    <w:rsid w:val="00A06D5D"/>
    <w:rsid w:val="00A06DB7"/>
    <w:rsid w:val="00A07635"/>
    <w:rsid w:val="00A0764B"/>
    <w:rsid w:val="00A07699"/>
    <w:rsid w:val="00A07BC6"/>
    <w:rsid w:val="00A07F34"/>
    <w:rsid w:val="00A103CA"/>
    <w:rsid w:val="00A1340E"/>
    <w:rsid w:val="00A14565"/>
    <w:rsid w:val="00A1503C"/>
    <w:rsid w:val="00A1517F"/>
    <w:rsid w:val="00A15F8B"/>
    <w:rsid w:val="00A16981"/>
    <w:rsid w:val="00A173A2"/>
    <w:rsid w:val="00A20142"/>
    <w:rsid w:val="00A20BAE"/>
    <w:rsid w:val="00A21480"/>
    <w:rsid w:val="00A2154D"/>
    <w:rsid w:val="00A22154"/>
    <w:rsid w:val="00A23D99"/>
    <w:rsid w:val="00A23E78"/>
    <w:rsid w:val="00A25C38"/>
    <w:rsid w:val="00A267C6"/>
    <w:rsid w:val="00A30E50"/>
    <w:rsid w:val="00A30E99"/>
    <w:rsid w:val="00A31987"/>
    <w:rsid w:val="00A31FF5"/>
    <w:rsid w:val="00A32FB6"/>
    <w:rsid w:val="00A33C86"/>
    <w:rsid w:val="00A33DAA"/>
    <w:rsid w:val="00A3615E"/>
    <w:rsid w:val="00A3634D"/>
    <w:rsid w:val="00A368B4"/>
    <w:rsid w:val="00A36BBE"/>
    <w:rsid w:val="00A37418"/>
    <w:rsid w:val="00A37B9E"/>
    <w:rsid w:val="00A408B7"/>
    <w:rsid w:val="00A418B4"/>
    <w:rsid w:val="00A41CC0"/>
    <w:rsid w:val="00A41E52"/>
    <w:rsid w:val="00A42EA8"/>
    <w:rsid w:val="00A4307A"/>
    <w:rsid w:val="00A47755"/>
    <w:rsid w:val="00A47EBB"/>
    <w:rsid w:val="00A50C9F"/>
    <w:rsid w:val="00A51B81"/>
    <w:rsid w:val="00A51C82"/>
    <w:rsid w:val="00A51CDD"/>
    <w:rsid w:val="00A5235F"/>
    <w:rsid w:val="00A52A74"/>
    <w:rsid w:val="00A5417E"/>
    <w:rsid w:val="00A57649"/>
    <w:rsid w:val="00A57F0C"/>
    <w:rsid w:val="00A6015C"/>
    <w:rsid w:val="00A605DE"/>
    <w:rsid w:val="00A60A38"/>
    <w:rsid w:val="00A60BC4"/>
    <w:rsid w:val="00A63161"/>
    <w:rsid w:val="00A6427F"/>
    <w:rsid w:val="00A64884"/>
    <w:rsid w:val="00A64C48"/>
    <w:rsid w:val="00A64E89"/>
    <w:rsid w:val="00A6730D"/>
    <w:rsid w:val="00A67A79"/>
    <w:rsid w:val="00A7005C"/>
    <w:rsid w:val="00A7055E"/>
    <w:rsid w:val="00A71625"/>
    <w:rsid w:val="00A716BB"/>
    <w:rsid w:val="00A71B9B"/>
    <w:rsid w:val="00A751C7"/>
    <w:rsid w:val="00A75E40"/>
    <w:rsid w:val="00A76A8B"/>
    <w:rsid w:val="00A76E95"/>
    <w:rsid w:val="00A80076"/>
    <w:rsid w:val="00A8298F"/>
    <w:rsid w:val="00A8400A"/>
    <w:rsid w:val="00A84DAE"/>
    <w:rsid w:val="00A8592C"/>
    <w:rsid w:val="00A85FDE"/>
    <w:rsid w:val="00A868E6"/>
    <w:rsid w:val="00A86A46"/>
    <w:rsid w:val="00A87844"/>
    <w:rsid w:val="00A9057B"/>
    <w:rsid w:val="00A91377"/>
    <w:rsid w:val="00A91BA8"/>
    <w:rsid w:val="00A92BF1"/>
    <w:rsid w:val="00A92F04"/>
    <w:rsid w:val="00A94154"/>
    <w:rsid w:val="00A945FE"/>
    <w:rsid w:val="00A94CDF"/>
    <w:rsid w:val="00A953A4"/>
    <w:rsid w:val="00A9613D"/>
    <w:rsid w:val="00AA038C"/>
    <w:rsid w:val="00AA09CC"/>
    <w:rsid w:val="00AA11E1"/>
    <w:rsid w:val="00AA2D23"/>
    <w:rsid w:val="00AA301F"/>
    <w:rsid w:val="00AA6120"/>
    <w:rsid w:val="00AA68B2"/>
    <w:rsid w:val="00AA6CD0"/>
    <w:rsid w:val="00AA705A"/>
    <w:rsid w:val="00AA7639"/>
    <w:rsid w:val="00AA76AA"/>
    <w:rsid w:val="00AA774F"/>
    <w:rsid w:val="00AA7A09"/>
    <w:rsid w:val="00AB0696"/>
    <w:rsid w:val="00AB20B6"/>
    <w:rsid w:val="00AB219C"/>
    <w:rsid w:val="00AB25A6"/>
    <w:rsid w:val="00AB2E4F"/>
    <w:rsid w:val="00AB3429"/>
    <w:rsid w:val="00AB3B50"/>
    <w:rsid w:val="00AB3FCC"/>
    <w:rsid w:val="00AB4286"/>
    <w:rsid w:val="00AB5146"/>
    <w:rsid w:val="00AC05B1"/>
    <w:rsid w:val="00AC0A42"/>
    <w:rsid w:val="00AC366B"/>
    <w:rsid w:val="00AC39CA"/>
    <w:rsid w:val="00AC5085"/>
    <w:rsid w:val="00AC6E30"/>
    <w:rsid w:val="00AC788F"/>
    <w:rsid w:val="00AD3170"/>
    <w:rsid w:val="00AD356C"/>
    <w:rsid w:val="00AD477C"/>
    <w:rsid w:val="00AD48CC"/>
    <w:rsid w:val="00AD4936"/>
    <w:rsid w:val="00AD4C03"/>
    <w:rsid w:val="00AD4EC1"/>
    <w:rsid w:val="00AD6219"/>
    <w:rsid w:val="00AD7592"/>
    <w:rsid w:val="00AD7C0A"/>
    <w:rsid w:val="00AE0DEA"/>
    <w:rsid w:val="00AE1DBD"/>
    <w:rsid w:val="00AE20A5"/>
    <w:rsid w:val="00AE2914"/>
    <w:rsid w:val="00AE3DAB"/>
    <w:rsid w:val="00AE3E9B"/>
    <w:rsid w:val="00AE4EDC"/>
    <w:rsid w:val="00AE4F39"/>
    <w:rsid w:val="00AE5485"/>
    <w:rsid w:val="00AE607C"/>
    <w:rsid w:val="00AE665D"/>
    <w:rsid w:val="00AE66C0"/>
    <w:rsid w:val="00AE6D15"/>
    <w:rsid w:val="00AE7FBF"/>
    <w:rsid w:val="00AF112B"/>
    <w:rsid w:val="00AF23F1"/>
    <w:rsid w:val="00AF6A0B"/>
    <w:rsid w:val="00AF7696"/>
    <w:rsid w:val="00AF7758"/>
    <w:rsid w:val="00AF7D8E"/>
    <w:rsid w:val="00B0040D"/>
    <w:rsid w:val="00B02399"/>
    <w:rsid w:val="00B03032"/>
    <w:rsid w:val="00B03894"/>
    <w:rsid w:val="00B04182"/>
    <w:rsid w:val="00B07AE3"/>
    <w:rsid w:val="00B07D31"/>
    <w:rsid w:val="00B07D6E"/>
    <w:rsid w:val="00B10093"/>
    <w:rsid w:val="00B11430"/>
    <w:rsid w:val="00B134E9"/>
    <w:rsid w:val="00B13E5D"/>
    <w:rsid w:val="00B147B1"/>
    <w:rsid w:val="00B15C51"/>
    <w:rsid w:val="00B163F5"/>
    <w:rsid w:val="00B20165"/>
    <w:rsid w:val="00B2281D"/>
    <w:rsid w:val="00B22A76"/>
    <w:rsid w:val="00B2383A"/>
    <w:rsid w:val="00B24E8C"/>
    <w:rsid w:val="00B258BB"/>
    <w:rsid w:val="00B27F09"/>
    <w:rsid w:val="00B31AD8"/>
    <w:rsid w:val="00B3233B"/>
    <w:rsid w:val="00B3422A"/>
    <w:rsid w:val="00B3433A"/>
    <w:rsid w:val="00B3527E"/>
    <w:rsid w:val="00B353EB"/>
    <w:rsid w:val="00B37F05"/>
    <w:rsid w:val="00B40293"/>
    <w:rsid w:val="00B4103D"/>
    <w:rsid w:val="00B43412"/>
    <w:rsid w:val="00B439C4"/>
    <w:rsid w:val="00B43B56"/>
    <w:rsid w:val="00B450B3"/>
    <w:rsid w:val="00B45245"/>
    <w:rsid w:val="00B452F0"/>
    <w:rsid w:val="00B4535E"/>
    <w:rsid w:val="00B50AA4"/>
    <w:rsid w:val="00B51F1D"/>
    <w:rsid w:val="00B52A8C"/>
    <w:rsid w:val="00B52BDE"/>
    <w:rsid w:val="00B53D40"/>
    <w:rsid w:val="00B5428F"/>
    <w:rsid w:val="00B56EFF"/>
    <w:rsid w:val="00B56FDB"/>
    <w:rsid w:val="00B6042B"/>
    <w:rsid w:val="00B60DEF"/>
    <w:rsid w:val="00B636A8"/>
    <w:rsid w:val="00B65002"/>
    <w:rsid w:val="00B663F0"/>
    <w:rsid w:val="00B665C6"/>
    <w:rsid w:val="00B67301"/>
    <w:rsid w:val="00B674EF"/>
    <w:rsid w:val="00B67F36"/>
    <w:rsid w:val="00B70332"/>
    <w:rsid w:val="00B70D35"/>
    <w:rsid w:val="00B718DE"/>
    <w:rsid w:val="00B72101"/>
    <w:rsid w:val="00B72D05"/>
    <w:rsid w:val="00B73E73"/>
    <w:rsid w:val="00B75243"/>
    <w:rsid w:val="00B805AF"/>
    <w:rsid w:val="00B80948"/>
    <w:rsid w:val="00B81955"/>
    <w:rsid w:val="00B81D08"/>
    <w:rsid w:val="00B83CC6"/>
    <w:rsid w:val="00B85A8E"/>
    <w:rsid w:val="00B85CE2"/>
    <w:rsid w:val="00B869EC"/>
    <w:rsid w:val="00B87B7E"/>
    <w:rsid w:val="00B87E6B"/>
    <w:rsid w:val="00B908ED"/>
    <w:rsid w:val="00B91E56"/>
    <w:rsid w:val="00B92F1D"/>
    <w:rsid w:val="00B9397A"/>
    <w:rsid w:val="00B9633D"/>
    <w:rsid w:val="00B97334"/>
    <w:rsid w:val="00B9750A"/>
    <w:rsid w:val="00BA0B75"/>
    <w:rsid w:val="00BA2EBE"/>
    <w:rsid w:val="00BA380E"/>
    <w:rsid w:val="00BA4211"/>
    <w:rsid w:val="00BA486A"/>
    <w:rsid w:val="00BA4B65"/>
    <w:rsid w:val="00BA5EE3"/>
    <w:rsid w:val="00BA6C05"/>
    <w:rsid w:val="00BB0F28"/>
    <w:rsid w:val="00BB126A"/>
    <w:rsid w:val="00BB1636"/>
    <w:rsid w:val="00BB1AE7"/>
    <w:rsid w:val="00BB203B"/>
    <w:rsid w:val="00BB29F7"/>
    <w:rsid w:val="00BB3329"/>
    <w:rsid w:val="00BB3978"/>
    <w:rsid w:val="00BB4130"/>
    <w:rsid w:val="00BB43F3"/>
    <w:rsid w:val="00BB458A"/>
    <w:rsid w:val="00BB4F99"/>
    <w:rsid w:val="00BC002B"/>
    <w:rsid w:val="00BC0453"/>
    <w:rsid w:val="00BC0FC8"/>
    <w:rsid w:val="00BC2353"/>
    <w:rsid w:val="00BC31A2"/>
    <w:rsid w:val="00BC3395"/>
    <w:rsid w:val="00BC6806"/>
    <w:rsid w:val="00BC7EBF"/>
    <w:rsid w:val="00BD00D3"/>
    <w:rsid w:val="00BD0F75"/>
    <w:rsid w:val="00BD1659"/>
    <w:rsid w:val="00BD2F52"/>
    <w:rsid w:val="00BD3108"/>
    <w:rsid w:val="00BD32D2"/>
    <w:rsid w:val="00BD3AA9"/>
    <w:rsid w:val="00BD42E6"/>
    <w:rsid w:val="00BD4A18"/>
    <w:rsid w:val="00BD4D10"/>
    <w:rsid w:val="00BD57BE"/>
    <w:rsid w:val="00BD5BF5"/>
    <w:rsid w:val="00BD6DB2"/>
    <w:rsid w:val="00BE0E98"/>
    <w:rsid w:val="00BE11CF"/>
    <w:rsid w:val="00BE17D1"/>
    <w:rsid w:val="00BE21AB"/>
    <w:rsid w:val="00BE2728"/>
    <w:rsid w:val="00BE31D3"/>
    <w:rsid w:val="00BE4E3B"/>
    <w:rsid w:val="00BE55CB"/>
    <w:rsid w:val="00BE59E5"/>
    <w:rsid w:val="00BE6EB3"/>
    <w:rsid w:val="00BE74ED"/>
    <w:rsid w:val="00BF045B"/>
    <w:rsid w:val="00BF112D"/>
    <w:rsid w:val="00BF14B0"/>
    <w:rsid w:val="00BF2EBE"/>
    <w:rsid w:val="00BF3944"/>
    <w:rsid w:val="00BF4D40"/>
    <w:rsid w:val="00BF5754"/>
    <w:rsid w:val="00BF617A"/>
    <w:rsid w:val="00BF6188"/>
    <w:rsid w:val="00BF6AF7"/>
    <w:rsid w:val="00BF6FCE"/>
    <w:rsid w:val="00BF79CD"/>
    <w:rsid w:val="00C00801"/>
    <w:rsid w:val="00C01322"/>
    <w:rsid w:val="00C01E6D"/>
    <w:rsid w:val="00C027D1"/>
    <w:rsid w:val="00C0379D"/>
    <w:rsid w:val="00C03931"/>
    <w:rsid w:val="00C03AE6"/>
    <w:rsid w:val="00C04D4B"/>
    <w:rsid w:val="00C04E83"/>
    <w:rsid w:val="00C0578B"/>
    <w:rsid w:val="00C05FE3"/>
    <w:rsid w:val="00C10644"/>
    <w:rsid w:val="00C10C28"/>
    <w:rsid w:val="00C114F5"/>
    <w:rsid w:val="00C13E47"/>
    <w:rsid w:val="00C148FD"/>
    <w:rsid w:val="00C15881"/>
    <w:rsid w:val="00C16DC5"/>
    <w:rsid w:val="00C17AB9"/>
    <w:rsid w:val="00C17F05"/>
    <w:rsid w:val="00C20076"/>
    <w:rsid w:val="00C20C62"/>
    <w:rsid w:val="00C2136D"/>
    <w:rsid w:val="00C214EE"/>
    <w:rsid w:val="00C21A87"/>
    <w:rsid w:val="00C2314B"/>
    <w:rsid w:val="00C23B5D"/>
    <w:rsid w:val="00C24971"/>
    <w:rsid w:val="00C2529E"/>
    <w:rsid w:val="00C26933"/>
    <w:rsid w:val="00C26BE5"/>
    <w:rsid w:val="00C26C84"/>
    <w:rsid w:val="00C26E4D"/>
    <w:rsid w:val="00C27909"/>
    <w:rsid w:val="00C27AD9"/>
    <w:rsid w:val="00C27B03"/>
    <w:rsid w:val="00C27D45"/>
    <w:rsid w:val="00C303B8"/>
    <w:rsid w:val="00C30619"/>
    <w:rsid w:val="00C314E1"/>
    <w:rsid w:val="00C31DFA"/>
    <w:rsid w:val="00C32777"/>
    <w:rsid w:val="00C33758"/>
    <w:rsid w:val="00C34397"/>
    <w:rsid w:val="00C36F18"/>
    <w:rsid w:val="00C3788B"/>
    <w:rsid w:val="00C4095D"/>
    <w:rsid w:val="00C4138F"/>
    <w:rsid w:val="00C428B9"/>
    <w:rsid w:val="00C439FF"/>
    <w:rsid w:val="00C44116"/>
    <w:rsid w:val="00C46169"/>
    <w:rsid w:val="00C475F5"/>
    <w:rsid w:val="00C4774F"/>
    <w:rsid w:val="00C5082F"/>
    <w:rsid w:val="00C50B48"/>
    <w:rsid w:val="00C5167E"/>
    <w:rsid w:val="00C520DD"/>
    <w:rsid w:val="00C5279F"/>
    <w:rsid w:val="00C5390A"/>
    <w:rsid w:val="00C53ED6"/>
    <w:rsid w:val="00C566C9"/>
    <w:rsid w:val="00C56AE4"/>
    <w:rsid w:val="00C56BC9"/>
    <w:rsid w:val="00C57C5C"/>
    <w:rsid w:val="00C57C85"/>
    <w:rsid w:val="00C601D2"/>
    <w:rsid w:val="00C60406"/>
    <w:rsid w:val="00C610AF"/>
    <w:rsid w:val="00C61C8C"/>
    <w:rsid w:val="00C62553"/>
    <w:rsid w:val="00C629D8"/>
    <w:rsid w:val="00C63F3F"/>
    <w:rsid w:val="00C63FE7"/>
    <w:rsid w:val="00C65AC0"/>
    <w:rsid w:val="00C65BCC"/>
    <w:rsid w:val="00C65FCE"/>
    <w:rsid w:val="00C66265"/>
    <w:rsid w:val="00C668F5"/>
    <w:rsid w:val="00C66970"/>
    <w:rsid w:val="00C66BD9"/>
    <w:rsid w:val="00C70E4A"/>
    <w:rsid w:val="00C711C4"/>
    <w:rsid w:val="00C7141A"/>
    <w:rsid w:val="00C71BDC"/>
    <w:rsid w:val="00C71C18"/>
    <w:rsid w:val="00C72578"/>
    <w:rsid w:val="00C72B80"/>
    <w:rsid w:val="00C732B7"/>
    <w:rsid w:val="00C76818"/>
    <w:rsid w:val="00C8009F"/>
    <w:rsid w:val="00C80BC4"/>
    <w:rsid w:val="00C80FA5"/>
    <w:rsid w:val="00C81EEF"/>
    <w:rsid w:val="00C8282B"/>
    <w:rsid w:val="00C82B60"/>
    <w:rsid w:val="00C85F20"/>
    <w:rsid w:val="00C86410"/>
    <w:rsid w:val="00C8691C"/>
    <w:rsid w:val="00C86C68"/>
    <w:rsid w:val="00C8751C"/>
    <w:rsid w:val="00C87A83"/>
    <w:rsid w:val="00C92DB5"/>
    <w:rsid w:val="00C93BE6"/>
    <w:rsid w:val="00C94887"/>
    <w:rsid w:val="00C94E5F"/>
    <w:rsid w:val="00C95947"/>
    <w:rsid w:val="00C965A5"/>
    <w:rsid w:val="00CA04F9"/>
    <w:rsid w:val="00CA168A"/>
    <w:rsid w:val="00CA210B"/>
    <w:rsid w:val="00CA276B"/>
    <w:rsid w:val="00CA2A2E"/>
    <w:rsid w:val="00CA2A93"/>
    <w:rsid w:val="00CA357E"/>
    <w:rsid w:val="00CA44F9"/>
    <w:rsid w:val="00CA462A"/>
    <w:rsid w:val="00CA483D"/>
    <w:rsid w:val="00CA48A4"/>
    <w:rsid w:val="00CA4A69"/>
    <w:rsid w:val="00CA50C2"/>
    <w:rsid w:val="00CA5735"/>
    <w:rsid w:val="00CA78CF"/>
    <w:rsid w:val="00CB2138"/>
    <w:rsid w:val="00CB2D00"/>
    <w:rsid w:val="00CB38F0"/>
    <w:rsid w:val="00CB5BFA"/>
    <w:rsid w:val="00CB67F3"/>
    <w:rsid w:val="00CB6CBF"/>
    <w:rsid w:val="00CB7216"/>
    <w:rsid w:val="00CC092D"/>
    <w:rsid w:val="00CC12EF"/>
    <w:rsid w:val="00CC1809"/>
    <w:rsid w:val="00CC2523"/>
    <w:rsid w:val="00CC3E0C"/>
    <w:rsid w:val="00CC480F"/>
    <w:rsid w:val="00CC51A0"/>
    <w:rsid w:val="00CC58D3"/>
    <w:rsid w:val="00CC6A4E"/>
    <w:rsid w:val="00CC7087"/>
    <w:rsid w:val="00CC72FF"/>
    <w:rsid w:val="00CC784D"/>
    <w:rsid w:val="00CC7A88"/>
    <w:rsid w:val="00CD004A"/>
    <w:rsid w:val="00CD0639"/>
    <w:rsid w:val="00CD1AE7"/>
    <w:rsid w:val="00CD227D"/>
    <w:rsid w:val="00CD2381"/>
    <w:rsid w:val="00CD35AE"/>
    <w:rsid w:val="00CD3E2E"/>
    <w:rsid w:val="00CD7CE5"/>
    <w:rsid w:val="00CE1FF6"/>
    <w:rsid w:val="00CE34A3"/>
    <w:rsid w:val="00CE34B0"/>
    <w:rsid w:val="00CE4DC2"/>
    <w:rsid w:val="00CE58A4"/>
    <w:rsid w:val="00CE709B"/>
    <w:rsid w:val="00CE7BDB"/>
    <w:rsid w:val="00CE7D5B"/>
    <w:rsid w:val="00CF0EAB"/>
    <w:rsid w:val="00CF1123"/>
    <w:rsid w:val="00CF3C56"/>
    <w:rsid w:val="00CF6F36"/>
    <w:rsid w:val="00D02E09"/>
    <w:rsid w:val="00D0337B"/>
    <w:rsid w:val="00D04334"/>
    <w:rsid w:val="00D0435F"/>
    <w:rsid w:val="00D04FAC"/>
    <w:rsid w:val="00D0695D"/>
    <w:rsid w:val="00D079B2"/>
    <w:rsid w:val="00D10A9D"/>
    <w:rsid w:val="00D114E9"/>
    <w:rsid w:val="00D12E54"/>
    <w:rsid w:val="00D13AE7"/>
    <w:rsid w:val="00D15557"/>
    <w:rsid w:val="00D1557F"/>
    <w:rsid w:val="00D15633"/>
    <w:rsid w:val="00D15F14"/>
    <w:rsid w:val="00D16D41"/>
    <w:rsid w:val="00D17E9C"/>
    <w:rsid w:val="00D200EB"/>
    <w:rsid w:val="00D2039B"/>
    <w:rsid w:val="00D20A62"/>
    <w:rsid w:val="00D230A9"/>
    <w:rsid w:val="00D23B07"/>
    <w:rsid w:val="00D24CA6"/>
    <w:rsid w:val="00D2531D"/>
    <w:rsid w:val="00D2612F"/>
    <w:rsid w:val="00D267A3"/>
    <w:rsid w:val="00D31326"/>
    <w:rsid w:val="00D31DB0"/>
    <w:rsid w:val="00D33396"/>
    <w:rsid w:val="00D33C1D"/>
    <w:rsid w:val="00D33C4B"/>
    <w:rsid w:val="00D343AF"/>
    <w:rsid w:val="00D34A33"/>
    <w:rsid w:val="00D350F9"/>
    <w:rsid w:val="00D353BB"/>
    <w:rsid w:val="00D37DA8"/>
    <w:rsid w:val="00D41769"/>
    <w:rsid w:val="00D4211E"/>
    <w:rsid w:val="00D429C6"/>
    <w:rsid w:val="00D45BB8"/>
    <w:rsid w:val="00D460FE"/>
    <w:rsid w:val="00D46246"/>
    <w:rsid w:val="00D47748"/>
    <w:rsid w:val="00D47CEC"/>
    <w:rsid w:val="00D5004C"/>
    <w:rsid w:val="00D5028A"/>
    <w:rsid w:val="00D50471"/>
    <w:rsid w:val="00D51892"/>
    <w:rsid w:val="00D5319D"/>
    <w:rsid w:val="00D534FE"/>
    <w:rsid w:val="00D54390"/>
    <w:rsid w:val="00D54B8A"/>
    <w:rsid w:val="00D54CC3"/>
    <w:rsid w:val="00D57CAE"/>
    <w:rsid w:val="00D602E0"/>
    <w:rsid w:val="00D6041A"/>
    <w:rsid w:val="00D60924"/>
    <w:rsid w:val="00D60932"/>
    <w:rsid w:val="00D6195F"/>
    <w:rsid w:val="00D627D5"/>
    <w:rsid w:val="00D633EB"/>
    <w:rsid w:val="00D65343"/>
    <w:rsid w:val="00D65437"/>
    <w:rsid w:val="00D65C78"/>
    <w:rsid w:val="00D65E87"/>
    <w:rsid w:val="00D674E5"/>
    <w:rsid w:val="00D7292C"/>
    <w:rsid w:val="00D74FE5"/>
    <w:rsid w:val="00D764D7"/>
    <w:rsid w:val="00D8098F"/>
    <w:rsid w:val="00D81855"/>
    <w:rsid w:val="00D82FF7"/>
    <w:rsid w:val="00D847FE"/>
    <w:rsid w:val="00D8545B"/>
    <w:rsid w:val="00D85CEF"/>
    <w:rsid w:val="00D86F21"/>
    <w:rsid w:val="00D87322"/>
    <w:rsid w:val="00D91ADC"/>
    <w:rsid w:val="00D91D6D"/>
    <w:rsid w:val="00D92431"/>
    <w:rsid w:val="00D928A9"/>
    <w:rsid w:val="00D931DC"/>
    <w:rsid w:val="00D939D6"/>
    <w:rsid w:val="00D93D16"/>
    <w:rsid w:val="00D93E4C"/>
    <w:rsid w:val="00D953EA"/>
    <w:rsid w:val="00D96198"/>
    <w:rsid w:val="00D96260"/>
    <w:rsid w:val="00D964EA"/>
    <w:rsid w:val="00D966D0"/>
    <w:rsid w:val="00D972D4"/>
    <w:rsid w:val="00D979E6"/>
    <w:rsid w:val="00DA017A"/>
    <w:rsid w:val="00DA0C59"/>
    <w:rsid w:val="00DA1F87"/>
    <w:rsid w:val="00DA2112"/>
    <w:rsid w:val="00DA25EA"/>
    <w:rsid w:val="00DA2716"/>
    <w:rsid w:val="00DA3991"/>
    <w:rsid w:val="00DA3F8B"/>
    <w:rsid w:val="00DA4953"/>
    <w:rsid w:val="00DA4C8F"/>
    <w:rsid w:val="00DA7B4D"/>
    <w:rsid w:val="00DB050C"/>
    <w:rsid w:val="00DB0990"/>
    <w:rsid w:val="00DB1323"/>
    <w:rsid w:val="00DB2E7F"/>
    <w:rsid w:val="00DB3FDA"/>
    <w:rsid w:val="00DB4C69"/>
    <w:rsid w:val="00DB5B51"/>
    <w:rsid w:val="00DB61A4"/>
    <w:rsid w:val="00DB7E6C"/>
    <w:rsid w:val="00DC0E0C"/>
    <w:rsid w:val="00DC1E38"/>
    <w:rsid w:val="00DC3126"/>
    <w:rsid w:val="00DC4B25"/>
    <w:rsid w:val="00DC5743"/>
    <w:rsid w:val="00DC6D0D"/>
    <w:rsid w:val="00DD05CF"/>
    <w:rsid w:val="00DD090A"/>
    <w:rsid w:val="00DD5394"/>
    <w:rsid w:val="00DD5A29"/>
    <w:rsid w:val="00DD5D9D"/>
    <w:rsid w:val="00DD5EFA"/>
    <w:rsid w:val="00DD5FFC"/>
    <w:rsid w:val="00DD60A6"/>
    <w:rsid w:val="00DD78E9"/>
    <w:rsid w:val="00DD7A2A"/>
    <w:rsid w:val="00DD7A7B"/>
    <w:rsid w:val="00DE0165"/>
    <w:rsid w:val="00DE1926"/>
    <w:rsid w:val="00DE2CC8"/>
    <w:rsid w:val="00DE32AA"/>
    <w:rsid w:val="00DE35CB"/>
    <w:rsid w:val="00DE3A2A"/>
    <w:rsid w:val="00DE4444"/>
    <w:rsid w:val="00DE4977"/>
    <w:rsid w:val="00DE6260"/>
    <w:rsid w:val="00DE7A8E"/>
    <w:rsid w:val="00DF00FA"/>
    <w:rsid w:val="00DF03B1"/>
    <w:rsid w:val="00DF123A"/>
    <w:rsid w:val="00DF21E9"/>
    <w:rsid w:val="00DF2F08"/>
    <w:rsid w:val="00DF42DC"/>
    <w:rsid w:val="00DF4779"/>
    <w:rsid w:val="00DF5393"/>
    <w:rsid w:val="00DF6263"/>
    <w:rsid w:val="00DF64D9"/>
    <w:rsid w:val="00DF75DB"/>
    <w:rsid w:val="00DF783B"/>
    <w:rsid w:val="00DF7869"/>
    <w:rsid w:val="00DF7A9E"/>
    <w:rsid w:val="00E002DA"/>
    <w:rsid w:val="00E00BCE"/>
    <w:rsid w:val="00E00BF2"/>
    <w:rsid w:val="00E00F14"/>
    <w:rsid w:val="00E03D17"/>
    <w:rsid w:val="00E04D52"/>
    <w:rsid w:val="00E04FF9"/>
    <w:rsid w:val="00E053EE"/>
    <w:rsid w:val="00E06386"/>
    <w:rsid w:val="00E06492"/>
    <w:rsid w:val="00E072B1"/>
    <w:rsid w:val="00E072FD"/>
    <w:rsid w:val="00E07C7B"/>
    <w:rsid w:val="00E10322"/>
    <w:rsid w:val="00E10612"/>
    <w:rsid w:val="00E10C2C"/>
    <w:rsid w:val="00E11AA7"/>
    <w:rsid w:val="00E1225C"/>
    <w:rsid w:val="00E14CAF"/>
    <w:rsid w:val="00E14D5F"/>
    <w:rsid w:val="00E14DB5"/>
    <w:rsid w:val="00E14E03"/>
    <w:rsid w:val="00E1548C"/>
    <w:rsid w:val="00E17E8B"/>
    <w:rsid w:val="00E20097"/>
    <w:rsid w:val="00E22856"/>
    <w:rsid w:val="00E22A7E"/>
    <w:rsid w:val="00E22F15"/>
    <w:rsid w:val="00E23CFA"/>
    <w:rsid w:val="00E24EB4"/>
    <w:rsid w:val="00E253A5"/>
    <w:rsid w:val="00E25926"/>
    <w:rsid w:val="00E25DA6"/>
    <w:rsid w:val="00E27B7A"/>
    <w:rsid w:val="00E30B38"/>
    <w:rsid w:val="00E30EBA"/>
    <w:rsid w:val="00E320ED"/>
    <w:rsid w:val="00E32BE7"/>
    <w:rsid w:val="00E33AFB"/>
    <w:rsid w:val="00E33D79"/>
    <w:rsid w:val="00E34218"/>
    <w:rsid w:val="00E36403"/>
    <w:rsid w:val="00E40307"/>
    <w:rsid w:val="00E41F4A"/>
    <w:rsid w:val="00E423CF"/>
    <w:rsid w:val="00E43161"/>
    <w:rsid w:val="00E437C5"/>
    <w:rsid w:val="00E44F01"/>
    <w:rsid w:val="00E454C4"/>
    <w:rsid w:val="00E45C25"/>
    <w:rsid w:val="00E460F4"/>
    <w:rsid w:val="00E46282"/>
    <w:rsid w:val="00E500BB"/>
    <w:rsid w:val="00E5172E"/>
    <w:rsid w:val="00E51E72"/>
    <w:rsid w:val="00E5216E"/>
    <w:rsid w:val="00E54B56"/>
    <w:rsid w:val="00E569EA"/>
    <w:rsid w:val="00E571A3"/>
    <w:rsid w:val="00E57D49"/>
    <w:rsid w:val="00E611AA"/>
    <w:rsid w:val="00E611BA"/>
    <w:rsid w:val="00E6174F"/>
    <w:rsid w:val="00E61D3E"/>
    <w:rsid w:val="00E62C93"/>
    <w:rsid w:val="00E62F79"/>
    <w:rsid w:val="00E64259"/>
    <w:rsid w:val="00E64AB9"/>
    <w:rsid w:val="00E64B6F"/>
    <w:rsid w:val="00E65A19"/>
    <w:rsid w:val="00E65EEE"/>
    <w:rsid w:val="00E65FB3"/>
    <w:rsid w:val="00E6733F"/>
    <w:rsid w:val="00E6789B"/>
    <w:rsid w:val="00E72F84"/>
    <w:rsid w:val="00E7323C"/>
    <w:rsid w:val="00E734F5"/>
    <w:rsid w:val="00E73823"/>
    <w:rsid w:val="00E73FBF"/>
    <w:rsid w:val="00E74C4B"/>
    <w:rsid w:val="00E76870"/>
    <w:rsid w:val="00E77DD2"/>
    <w:rsid w:val="00E801A3"/>
    <w:rsid w:val="00E80A9D"/>
    <w:rsid w:val="00E81DA8"/>
    <w:rsid w:val="00E81DDA"/>
    <w:rsid w:val="00E82344"/>
    <w:rsid w:val="00E83302"/>
    <w:rsid w:val="00E8342E"/>
    <w:rsid w:val="00E835BF"/>
    <w:rsid w:val="00E840B1"/>
    <w:rsid w:val="00E84102"/>
    <w:rsid w:val="00E849CD"/>
    <w:rsid w:val="00E84C82"/>
    <w:rsid w:val="00E84D64"/>
    <w:rsid w:val="00E87408"/>
    <w:rsid w:val="00E90668"/>
    <w:rsid w:val="00E9083E"/>
    <w:rsid w:val="00E90E2C"/>
    <w:rsid w:val="00E914C4"/>
    <w:rsid w:val="00E91BB1"/>
    <w:rsid w:val="00E92B03"/>
    <w:rsid w:val="00E92DE9"/>
    <w:rsid w:val="00E934F5"/>
    <w:rsid w:val="00E945D4"/>
    <w:rsid w:val="00E95741"/>
    <w:rsid w:val="00E96961"/>
    <w:rsid w:val="00E977D1"/>
    <w:rsid w:val="00E97C4F"/>
    <w:rsid w:val="00EA03EA"/>
    <w:rsid w:val="00EA0744"/>
    <w:rsid w:val="00EA0F2D"/>
    <w:rsid w:val="00EA175A"/>
    <w:rsid w:val="00EA40B9"/>
    <w:rsid w:val="00EA5251"/>
    <w:rsid w:val="00EA72EC"/>
    <w:rsid w:val="00EA7365"/>
    <w:rsid w:val="00EB11CB"/>
    <w:rsid w:val="00EB275A"/>
    <w:rsid w:val="00EB2F52"/>
    <w:rsid w:val="00EB3759"/>
    <w:rsid w:val="00EB3B81"/>
    <w:rsid w:val="00EB407D"/>
    <w:rsid w:val="00EB6FF4"/>
    <w:rsid w:val="00EB7559"/>
    <w:rsid w:val="00EB786A"/>
    <w:rsid w:val="00EC131A"/>
    <w:rsid w:val="00EC1578"/>
    <w:rsid w:val="00EC1C72"/>
    <w:rsid w:val="00EC2057"/>
    <w:rsid w:val="00EC2209"/>
    <w:rsid w:val="00EC2835"/>
    <w:rsid w:val="00EC2AE2"/>
    <w:rsid w:val="00EC3CC9"/>
    <w:rsid w:val="00EC4BBC"/>
    <w:rsid w:val="00EC4F4D"/>
    <w:rsid w:val="00EC54A2"/>
    <w:rsid w:val="00EC680A"/>
    <w:rsid w:val="00EC70B7"/>
    <w:rsid w:val="00ED0A35"/>
    <w:rsid w:val="00ED13FE"/>
    <w:rsid w:val="00ED1CF7"/>
    <w:rsid w:val="00ED32C0"/>
    <w:rsid w:val="00ED42B8"/>
    <w:rsid w:val="00ED57BC"/>
    <w:rsid w:val="00ED59C4"/>
    <w:rsid w:val="00ED5A78"/>
    <w:rsid w:val="00ED63F2"/>
    <w:rsid w:val="00ED6E2D"/>
    <w:rsid w:val="00ED710F"/>
    <w:rsid w:val="00ED7FDB"/>
    <w:rsid w:val="00EE04DB"/>
    <w:rsid w:val="00EE1A4C"/>
    <w:rsid w:val="00EE26D9"/>
    <w:rsid w:val="00EE2BED"/>
    <w:rsid w:val="00EE374B"/>
    <w:rsid w:val="00EE4099"/>
    <w:rsid w:val="00EE4D7D"/>
    <w:rsid w:val="00EE5A4D"/>
    <w:rsid w:val="00EE6CE5"/>
    <w:rsid w:val="00EE78E4"/>
    <w:rsid w:val="00EE7D1F"/>
    <w:rsid w:val="00EF0A51"/>
    <w:rsid w:val="00EF11D6"/>
    <w:rsid w:val="00EF2860"/>
    <w:rsid w:val="00EF3677"/>
    <w:rsid w:val="00EF47F8"/>
    <w:rsid w:val="00EF5C8B"/>
    <w:rsid w:val="00F001E5"/>
    <w:rsid w:val="00F0104D"/>
    <w:rsid w:val="00F01521"/>
    <w:rsid w:val="00F01F7A"/>
    <w:rsid w:val="00F035C1"/>
    <w:rsid w:val="00F04326"/>
    <w:rsid w:val="00F04EDD"/>
    <w:rsid w:val="00F0532C"/>
    <w:rsid w:val="00F05898"/>
    <w:rsid w:val="00F0773B"/>
    <w:rsid w:val="00F10E08"/>
    <w:rsid w:val="00F11BB5"/>
    <w:rsid w:val="00F12757"/>
    <w:rsid w:val="00F135CA"/>
    <w:rsid w:val="00F1417B"/>
    <w:rsid w:val="00F151B5"/>
    <w:rsid w:val="00F171CC"/>
    <w:rsid w:val="00F17A21"/>
    <w:rsid w:val="00F2092C"/>
    <w:rsid w:val="00F20E04"/>
    <w:rsid w:val="00F2137E"/>
    <w:rsid w:val="00F218FC"/>
    <w:rsid w:val="00F2278A"/>
    <w:rsid w:val="00F23884"/>
    <w:rsid w:val="00F24835"/>
    <w:rsid w:val="00F24896"/>
    <w:rsid w:val="00F260A2"/>
    <w:rsid w:val="00F2614C"/>
    <w:rsid w:val="00F266F8"/>
    <w:rsid w:val="00F26859"/>
    <w:rsid w:val="00F26E65"/>
    <w:rsid w:val="00F30860"/>
    <w:rsid w:val="00F30B46"/>
    <w:rsid w:val="00F32F1C"/>
    <w:rsid w:val="00F34575"/>
    <w:rsid w:val="00F34B99"/>
    <w:rsid w:val="00F35303"/>
    <w:rsid w:val="00F3599A"/>
    <w:rsid w:val="00F40CC8"/>
    <w:rsid w:val="00F40FBA"/>
    <w:rsid w:val="00F41625"/>
    <w:rsid w:val="00F41AA2"/>
    <w:rsid w:val="00F425A6"/>
    <w:rsid w:val="00F42D16"/>
    <w:rsid w:val="00F42E53"/>
    <w:rsid w:val="00F44C24"/>
    <w:rsid w:val="00F4531A"/>
    <w:rsid w:val="00F46E37"/>
    <w:rsid w:val="00F50965"/>
    <w:rsid w:val="00F50F62"/>
    <w:rsid w:val="00F52C98"/>
    <w:rsid w:val="00F52DAB"/>
    <w:rsid w:val="00F5338C"/>
    <w:rsid w:val="00F543F0"/>
    <w:rsid w:val="00F56EF0"/>
    <w:rsid w:val="00F60159"/>
    <w:rsid w:val="00F611FB"/>
    <w:rsid w:val="00F61A89"/>
    <w:rsid w:val="00F623E3"/>
    <w:rsid w:val="00F62438"/>
    <w:rsid w:val="00F634CF"/>
    <w:rsid w:val="00F6636D"/>
    <w:rsid w:val="00F66A87"/>
    <w:rsid w:val="00F70027"/>
    <w:rsid w:val="00F7054D"/>
    <w:rsid w:val="00F70D7E"/>
    <w:rsid w:val="00F7209C"/>
    <w:rsid w:val="00F7228A"/>
    <w:rsid w:val="00F7371F"/>
    <w:rsid w:val="00F73837"/>
    <w:rsid w:val="00F73E72"/>
    <w:rsid w:val="00F73F83"/>
    <w:rsid w:val="00F75950"/>
    <w:rsid w:val="00F75A12"/>
    <w:rsid w:val="00F77C7F"/>
    <w:rsid w:val="00F80074"/>
    <w:rsid w:val="00F80B1E"/>
    <w:rsid w:val="00F819A3"/>
    <w:rsid w:val="00F81A3A"/>
    <w:rsid w:val="00F81D29"/>
    <w:rsid w:val="00F8456D"/>
    <w:rsid w:val="00F84B29"/>
    <w:rsid w:val="00F84D4C"/>
    <w:rsid w:val="00F85827"/>
    <w:rsid w:val="00F91C4D"/>
    <w:rsid w:val="00F92FD9"/>
    <w:rsid w:val="00F9476F"/>
    <w:rsid w:val="00F949AF"/>
    <w:rsid w:val="00F95136"/>
    <w:rsid w:val="00F95D9A"/>
    <w:rsid w:val="00F975FB"/>
    <w:rsid w:val="00FA0110"/>
    <w:rsid w:val="00FA083A"/>
    <w:rsid w:val="00FA08A1"/>
    <w:rsid w:val="00FA0A8E"/>
    <w:rsid w:val="00FA0D83"/>
    <w:rsid w:val="00FA1ADA"/>
    <w:rsid w:val="00FA1B05"/>
    <w:rsid w:val="00FA214F"/>
    <w:rsid w:val="00FA215B"/>
    <w:rsid w:val="00FA249D"/>
    <w:rsid w:val="00FA3188"/>
    <w:rsid w:val="00FA39BD"/>
    <w:rsid w:val="00FA3E2E"/>
    <w:rsid w:val="00FA443B"/>
    <w:rsid w:val="00FA460E"/>
    <w:rsid w:val="00FA58AF"/>
    <w:rsid w:val="00FA6082"/>
    <w:rsid w:val="00FA611F"/>
    <w:rsid w:val="00FA6684"/>
    <w:rsid w:val="00FA6DFD"/>
    <w:rsid w:val="00FA731E"/>
    <w:rsid w:val="00FB085C"/>
    <w:rsid w:val="00FB0D6A"/>
    <w:rsid w:val="00FB2640"/>
    <w:rsid w:val="00FB2B38"/>
    <w:rsid w:val="00FB6CF0"/>
    <w:rsid w:val="00FB7410"/>
    <w:rsid w:val="00FB7844"/>
    <w:rsid w:val="00FC024F"/>
    <w:rsid w:val="00FC2154"/>
    <w:rsid w:val="00FC39AA"/>
    <w:rsid w:val="00FC41F4"/>
    <w:rsid w:val="00FC4EF4"/>
    <w:rsid w:val="00FC4FAF"/>
    <w:rsid w:val="00FC5021"/>
    <w:rsid w:val="00FC6358"/>
    <w:rsid w:val="00FC6A1C"/>
    <w:rsid w:val="00FD01CF"/>
    <w:rsid w:val="00FD0CFA"/>
    <w:rsid w:val="00FD128D"/>
    <w:rsid w:val="00FD185F"/>
    <w:rsid w:val="00FD2E0D"/>
    <w:rsid w:val="00FD320D"/>
    <w:rsid w:val="00FD38ED"/>
    <w:rsid w:val="00FD4610"/>
    <w:rsid w:val="00FD6FE1"/>
    <w:rsid w:val="00FE0783"/>
    <w:rsid w:val="00FE1DB7"/>
    <w:rsid w:val="00FE1F2F"/>
    <w:rsid w:val="00FE23DE"/>
    <w:rsid w:val="00FE2BA4"/>
    <w:rsid w:val="00FE3FFC"/>
    <w:rsid w:val="00FE6EDF"/>
    <w:rsid w:val="00FF0AC1"/>
    <w:rsid w:val="00FF1070"/>
    <w:rsid w:val="00FF1535"/>
    <w:rsid w:val="00FF42E6"/>
    <w:rsid w:val="00FF43F9"/>
    <w:rsid w:val="00FF4FA1"/>
    <w:rsid w:val="00FF63AA"/>
    <w:rsid w:val="00FF7C23"/>
    <w:rsid w:val="01C310D9"/>
    <w:rsid w:val="01E26886"/>
    <w:rsid w:val="02041547"/>
    <w:rsid w:val="02551A35"/>
    <w:rsid w:val="02E84657"/>
    <w:rsid w:val="03497C46"/>
    <w:rsid w:val="039E565E"/>
    <w:rsid w:val="03BE1B05"/>
    <w:rsid w:val="042541F5"/>
    <w:rsid w:val="04DF6C8C"/>
    <w:rsid w:val="050140F6"/>
    <w:rsid w:val="051B2F0D"/>
    <w:rsid w:val="053C0307"/>
    <w:rsid w:val="05C36135"/>
    <w:rsid w:val="05C375FE"/>
    <w:rsid w:val="05D76C05"/>
    <w:rsid w:val="06135765"/>
    <w:rsid w:val="06506FEC"/>
    <w:rsid w:val="0752579E"/>
    <w:rsid w:val="07EB02CF"/>
    <w:rsid w:val="0AAA55B3"/>
    <w:rsid w:val="0ACB31DC"/>
    <w:rsid w:val="0B025CD4"/>
    <w:rsid w:val="0B026862"/>
    <w:rsid w:val="0B297F03"/>
    <w:rsid w:val="0BBC7BB2"/>
    <w:rsid w:val="0BF71DAF"/>
    <w:rsid w:val="0C476FBC"/>
    <w:rsid w:val="0CB93F39"/>
    <w:rsid w:val="0CDC201E"/>
    <w:rsid w:val="0D567DDD"/>
    <w:rsid w:val="0DC43625"/>
    <w:rsid w:val="0E083E00"/>
    <w:rsid w:val="0E2A0014"/>
    <w:rsid w:val="0E362C0C"/>
    <w:rsid w:val="0EA224A6"/>
    <w:rsid w:val="0EA259C3"/>
    <w:rsid w:val="0EB7278C"/>
    <w:rsid w:val="0EEB45D6"/>
    <w:rsid w:val="0F670FFA"/>
    <w:rsid w:val="0FB51D65"/>
    <w:rsid w:val="116110CE"/>
    <w:rsid w:val="11670B4F"/>
    <w:rsid w:val="11C653FD"/>
    <w:rsid w:val="11DF0949"/>
    <w:rsid w:val="1343708F"/>
    <w:rsid w:val="14006851"/>
    <w:rsid w:val="141540C6"/>
    <w:rsid w:val="14A21C9A"/>
    <w:rsid w:val="14D013EF"/>
    <w:rsid w:val="14ED54C2"/>
    <w:rsid w:val="15120D6F"/>
    <w:rsid w:val="154961C1"/>
    <w:rsid w:val="156D449A"/>
    <w:rsid w:val="159F365A"/>
    <w:rsid w:val="15A0411F"/>
    <w:rsid w:val="161E24F1"/>
    <w:rsid w:val="169648EE"/>
    <w:rsid w:val="177741E9"/>
    <w:rsid w:val="1798572E"/>
    <w:rsid w:val="189833B0"/>
    <w:rsid w:val="194627A1"/>
    <w:rsid w:val="194D03CC"/>
    <w:rsid w:val="196A6842"/>
    <w:rsid w:val="197D1C88"/>
    <w:rsid w:val="1A1A3838"/>
    <w:rsid w:val="1AAA41EF"/>
    <w:rsid w:val="1B8C7DFA"/>
    <w:rsid w:val="1C992A6E"/>
    <w:rsid w:val="1CD642D8"/>
    <w:rsid w:val="1D0E0320"/>
    <w:rsid w:val="1D2736C3"/>
    <w:rsid w:val="1D5A14EF"/>
    <w:rsid w:val="1E33400C"/>
    <w:rsid w:val="1E480CE4"/>
    <w:rsid w:val="1E8E20FF"/>
    <w:rsid w:val="1ECD49C0"/>
    <w:rsid w:val="1F6410B2"/>
    <w:rsid w:val="1F706448"/>
    <w:rsid w:val="1F9D6372"/>
    <w:rsid w:val="1FAF3FA0"/>
    <w:rsid w:val="1FEE16A2"/>
    <w:rsid w:val="1FF74256"/>
    <w:rsid w:val="20347613"/>
    <w:rsid w:val="20F743AA"/>
    <w:rsid w:val="215533A8"/>
    <w:rsid w:val="236B64C9"/>
    <w:rsid w:val="23FFD317"/>
    <w:rsid w:val="241436E0"/>
    <w:rsid w:val="24401886"/>
    <w:rsid w:val="24A106B2"/>
    <w:rsid w:val="24CA2676"/>
    <w:rsid w:val="250D560D"/>
    <w:rsid w:val="25F63A4B"/>
    <w:rsid w:val="263341B4"/>
    <w:rsid w:val="269E3E68"/>
    <w:rsid w:val="272B6819"/>
    <w:rsid w:val="27327263"/>
    <w:rsid w:val="276829E1"/>
    <w:rsid w:val="278A18D2"/>
    <w:rsid w:val="28A013AD"/>
    <w:rsid w:val="28AF15F0"/>
    <w:rsid w:val="28BC1F5F"/>
    <w:rsid w:val="28DA6519"/>
    <w:rsid w:val="29051210"/>
    <w:rsid w:val="29F05639"/>
    <w:rsid w:val="2A5266D7"/>
    <w:rsid w:val="2A953733"/>
    <w:rsid w:val="2B8964B2"/>
    <w:rsid w:val="2BE759E0"/>
    <w:rsid w:val="2BFF6922"/>
    <w:rsid w:val="2C764CC6"/>
    <w:rsid w:val="2D140B8B"/>
    <w:rsid w:val="2D3617F0"/>
    <w:rsid w:val="2D485B6F"/>
    <w:rsid w:val="2DBD030B"/>
    <w:rsid w:val="2DCB1C43"/>
    <w:rsid w:val="2DF66ED3"/>
    <w:rsid w:val="2DFDF403"/>
    <w:rsid w:val="2E5F7614"/>
    <w:rsid w:val="2E9A5479"/>
    <w:rsid w:val="2EC404ED"/>
    <w:rsid w:val="2ECB17D1"/>
    <w:rsid w:val="2EF7784D"/>
    <w:rsid w:val="2F0722ED"/>
    <w:rsid w:val="2F4A14FC"/>
    <w:rsid w:val="2F970416"/>
    <w:rsid w:val="2FB687F1"/>
    <w:rsid w:val="30426A5C"/>
    <w:rsid w:val="30887083"/>
    <w:rsid w:val="308A649E"/>
    <w:rsid w:val="316C6146"/>
    <w:rsid w:val="31ED3189"/>
    <w:rsid w:val="320D5030"/>
    <w:rsid w:val="323A2127"/>
    <w:rsid w:val="33884DAF"/>
    <w:rsid w:val="33B158EA"/>
    <w:rsid w:val="34606776"/>
    <w:rsid w:val="346C0B2C"/>
    <w:rsid w:val="351D6BDA"/>
    <w:rsid w:val="35E97E60"/>
    <w:rsid w:val="364D41F6"/>
    <w:rsid w:val="36BD043D"/>
    <w:rsid w:val="376130C9"/>
    <w:rsid w:val="376B47B7"/>
    <w:rsid w:val="38453BF6"/>
    <w:rsid w:val="38734BE8"/>
    <w:rsid w:val="38F564A9"/>
    <w:rsid w:val="393A3F88"/>
    <w:rsid w:val="395238FA"/>
    <w:rsid w:val="39906D7F"/>
    <w:rsid w:val="39B47A40"/>
    <w:rsid w:val="39CE564E"/>
    <w:rsid w:val="39DB75FA"/>
    <w:rsid w:val="39DC420F"/>
    <w:rsid w:val="3A493106"/>
    <w:rsid w:val="3A887EF3"/>
    <w:rsid w:val="3A9A57E0"/>
    <w:rsid w:val="3AB909ED"/>
    <w:rsid w:val="3BAC6DE1"/>
    <w:rsid w:val="3C024CA0"/>
    <w:rsid w:val="3D955F54"/>
    <w:rsid w:val="3E2E3923"/>
    <w:rsid w:val="3F6F1CFE"/>
    <w:rsid w:val="3F9701EB"/>
    <w:rsid w:val="3FFD1276"/>
    <w:rsid w:val="3FFD6C68"/>
    <w:rsid w:val="40362C79"/>
    <w:rsid w:val="40A03214"/>
    <w:rsid w:val="40C15F0C"/>
    <w:rsid w:val="40CF6FE7"/>
    <w:rsid w:val="410A78B3"/>
    <w:rsid w:val="413606A8"/>
    <w:rsid w:val="421309EA"/>
    <w:rsid w:val="44A02BBF"/>
    <w:rsid w:val="44DD0E3B"/>
    <w:rsid w:val="44F17107"/>
    <w:rsid w:val="4533302C"/>
    <w:rsid w:val="45CE0081"/>
    <w:rsid w:val="474533A3"/>
    <w:rsid w:val="474D22E4"/>
    <w:rsid w:val="475B0227"/>
    <w:rsid w:val="476F2035"/>
    <w:rsid w:val="47BE4CDD"/>
    <w:rsid w:val="484E277B"/>
    <w:rsid w:val="48EC25C4"/>
    <w:rsid w:val="49214CB2"/>
    <w:rsid w:val="4A8A19D4"/>
    <w:rsid w:val="4AE01685"/>
    <w:rsid w:val="4B1F1C72"/>
    <w:rsid w:val="4B8B69BD"/>
    <w:rsid w:val="4C681932"/>
    <w:rsid w:val="4E2F2707"/>
    <w:rsid w:val="4EF253F4"/>
    <w:rsid w:val="4FB8172D"/>
    <w:rsid w:val="4FC7D9EE"/>
    <w:rsid w:val="50D2381E"/>
    <w:rsid w:val="50EA49AE"/>
    <w:rsid w:val="520243C7"/>
    <w:rsid w:val="52817777"/>
    <w:rsid w:val="52B92EE7"/>
    <w:rsid w:val="53400F13"/>
    <w:rsid w:val="538C4158"/>
    <w:rsid w:val="53BA7B78"/>
    <w:rsid w:val="53BD2959"/>
    <w:rsid w:val="547229AE"/>
    <w:rsid w:val="54CE3AA7"/>
    <w:rsid w:val="55256902"/>
    <w:rsid w:val="55664405"/>
    <w:rsid w:val="55856246"/>
    <w:rsid w:val="55B13B21"/>
    <w:rsid w:val="55E85434"/>
    <w:rsid w:val="568702DB"/>
    <w:rsid w:val="568730A9"/>
    <w:rsid w:val="568C0FA1"/>
    <w:rsid w:val="57B79D32"/>
    <w:rsid w:val="57CD4C48"/>
    <w:rsid w:val="58AB6E2E"/>
    <w:rsid w:val="593B0539"/>
    <w:rsid w:val="596271CE"/>
    <w:rsid w:val="59A978D1"/>
    <w:rsid w:val="59C26858"/>
    <w:rsid w:val="59E051FD"/>
    <w:rsid w:val="5A4909C7"/>
    <w:rsid w:val="5A88195A"/>
    <w:rsid w:val="5AAA7662"/>
    <w:rsid w:val="5AB741B0"/>
    <w:rsid w:val="5AE71533"/>
    <w:rsid w:val="5B0F4685"/>
    <w:rsid w:val="5B145409"/>
    <w:rsid w:val="5BCC516B"/>
    <w:rsid w:val="5BE00B91"/>
    <w:rsid w:val="5C05696A"/>
    <w:rsid w:val="5C110CB8"/>
    <w:rsid w:val="5C4D06F9"/>
    <w:rsid w:val="5CFA4A8C"/>
    <w:rsid w:val="5D0F5075"/>
    <w:rsid w:val="5D4B7B1C"/>
    <w:rsid w:val="5E0537CF"/>
    <w:rsid w:val="5E1570B8"/>
    <w:rsid w:val="5E3801D1"/>
    <w:rsid w:val="5E7C1C44"/>
    <w:rsid w:val="5EB07418"/>
    <w:rsid w:val="5EEFCBE1"/>
    <w:rsid w:val="5F724979"/>
    <w:rsid w:val="5F7827CB"/>
    <w:rsid w:val="5FB517CB"/>
    <w:rsid w:val="60AA6473"/>
    <w:rsid w:val="60C07B37"/>
    <w:rsid w:val="62524E4A"/>
    <w:rsid w:val="626E75DA"/>
    <w:rsid w:val="62DC179E"/>
    <w:rsid w:val="62FB6C93"/>
    <w:rsid w:val="62FFC2E1"/>
    <w:rsid w:val="633550D3"/>
    <w:rsid w:val="633F7D27"/>
    <w:rsid w:val="63526558"/>
    <w:rsid w:val="636C5439"/>
    <w:rsid w:val="63C052BC"/>
    <w:rsid w:val="63C27722"/>
    <w:rsid w:val="63C74B9D"/>
    <w:rsid w:val="644017A3"/>
    <w:rsid w:val="64D87F73"/>
    <w:rsid w:val="64EA3F2D"/>
    <w:rsid w:val="64F14763"/>
    <w:rsid w:val="6518584B"/>
    <w:rsid w:val="65A31193"/>
    <w:rsid w:val="66B051A7"/>
    <w:rsid w:val="67D161EE"/>
    <w:rsid w:val="682F24A3"/>
    <w:rsid w:val="68651DD9"/>
    <w:rsid w:val="6879355E"/>
    <w:rsid w:val="68981084"/>
    <w:rsid w:val="690732DA"/>
    <w:rsid w:val="693A57C5"/>
    <w:rsid w:val="697B4863"/>
    <w:rsid w:val="6A976098"/>
    <w:rsid w:val="6AD90AF4"/>
    <w:rsid w:val="6AE14931"/>
    <w:rsid w:val="6B497D24"/>
    <w:rsid w:val="6BA561D6"/>
    <w:rsid w:val="6BFF4895"/>
    <w:rsid w:val="6C5D448C"/>
    <w:rsid w:val="6C6F7383"/>
    <w:rsid w:val="6C733CAF"/>
    <w:rsid w:val="6D1C6979"/>
    <w:rsid w:val="6D631F76"/>
    <w:rsid w:val="6D73295D"/>
    <w:rsid w:val="6D7A494B"/>
    <w:rsid w:val="6E670B27"/>
    <w:rsid w:val="6E694933"/>
    <w:rsid w:val="6E8004A5"/>
    <w:rsid w:val="6F9D3DB8"/>
    <w:rsid w:val="70757FF6"/>
    <w:rsid w:val="70F730E8"/>
    <w:rsid w:val="710C022E"/>
    <w:rsid w:val="71314E0F"/>
    <w:rsid w:val="7131633B"/>
    <w:rsid w:val="716574B5"/>
    <w:rsid w:val="717A56C5"/>
    <w:rsid w:val="71B11502"/>
    <w:rsid w:val="749A3643"/>
    <w:rsid w:val="749B3C3B"/>
    <w:rsid w:val="758B206A"/>
    <w:rsid w:val="75E65661"/>
    <w:rsid w:val="76051E1C"/>
    <w:rsid w:val="76A84E99"/>
    <w:rsid w:val="77CD7B4C"/>
    <w:rsid w:val="78106856"/>
    <w:rsid w:val="78655F0E"/>
    <w:rsid w:val="78E71CAD"/>
    <w:rsid w:val="79245376"/>
    <w:rsid w:val="79FB0C65"/>
    <w:rsid w:val="79FF0F6F"/>
    <w:rsid w:val="7A2C724F"/>
    <w:rsid w:val="7ACA10B3"/>
    <w:rsid w:val="7B1147AD"/>
    <w:rsid w:val="7B779F7A"/>
    <w:rsid w:val="7B890DF9"/>
    <w:rsid w:val="7BBF2A6D"/>
    <w:rsid w:val="7C5527E6"/>
    <w:rsid w:val="7C941131"/>
    <w:rsid w:val="7D2C39F2"/>
    <w:rsid w:val="7D5F6A07"/>
    <w:rsid w:val="7DA74FEC"/>
    <w:rsid w:val="7DB8500C"/>
    <w:rsid w:val="7DF662A9"/>
    <w:rsid w:val="7E1FA068"/>
    <w:rsid w:val="7E3F23B6"/>
    <w:rsid w:val="7EEA420C"/>
    <w:rsid w:val="7EF42605"/>
    <w:rsid w:val="7EFF1EC7"/>
    <w:rsid w:val="7F6FE9AA"/>
    <w:rsid w:val="7FBF5C85"/>
    <w:rsid w:val="7FEFE70D"/>
    <w:rsid w:val="87FFAF3D"/>
    <w:rsid w:val="8F2605EB"/>
    <w:rsid w:val="AF5C0595"/>
    <w:rsid w:val="B90F15BB"/>
    <w:rsid w:val="BDBBC426"/>
    <w:rsid w:val="BEB5548F"/>
    <w:rsid w:val="BFF48199"/>
    <w:rsid w:val="BFFB871A"/>
    <w:rsid w:val="BFFF31BE"/>
    <w:rsid w:val="C9FBF5DA"/>
    <w:rsid w:val="D7BF22FD"/>
    <w:rsid w:val="D7FBB191"/>
    <w:rsid w:val="DDBD3EDC"/>
    <w:rsid w:val="DEDFE534"/>
    <w:rsid w:val="DFF71473"/>
    <w:rsid w:val="DFFF0467"/>
    <w:rsid w:val="E97FC376"/>
    <w:rsid w:val="EF8F9B68"/>
    <w:rsid w:val="EFDC459A"/>
    <w:rsid w:val="FB754730"/>
    <w:rsid w:val="FDE9DD17"/>
    <w:rsid w:val="FF777649"/>
    <w:rsid w:val="FF7EEF73"/>
    <w:rsid w:val="FFAFB18A"/>
    <w:rsid w:val="FFBFE2A2"/>
    <w:rsid w:val="FFC5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center"/>
    </w:pPr>
    <w:rPr>
      <w:rFonts w:ascii="宋体" w:hAnsi="宋体" w:eastAsia="宋体" w:cs="Times New Roman"/>
      <w:kern w:val="2"/>
      <w:sz w:val="21"/>
      <w:szCs w:val="24"/>
      <w:lang w:val="en-US" w:eastAsia="zh-CN" w:bidi="ar-SA"/>
    </w:rPr>
  </w:style>
  <w:style w:type="paragraph" w:styleId="2">
    <w:name w:val="heading 1"/>
    <w:basedOn w:val="1"/>
    <w:next w:val="1"/>
    <w:link w:val="57"/>
    <w:qFormat/>
    <w:uiPriority w:val="1"/>
    <w:pPr>
      <w:keepNext/>
      <w:keepLines/>
      <w:widowControl/>
      <w:numPr>
        <w:ilvl w:val="0"/>
        <w:numId w:val="1"/>
      </w:numPr>
      <w:adjustRightInd w:val="0"/>
      <w:spacing w:before="312" w:beforeLines="100" w:after="156" w:afterLines="50"/>
      <w:outlineLvl w:val="0"/>
    </w:pPr>
    <w:rPr>
      <w:b/>
      <w:bCs/>
      <w:sz w:val="32"/>
      <w:szCs w:val="28"/>
      <w:lang w:eastAsia="ja-JP"/>
    </w:rPr>
  </w:style>
  <w:style w:type="paragraph" w:styleId="3">
    <w:name w:val="heading 2"/>
    <w:basedOn w:val="1"/>
    <w:next w:val="1"/>
    <w:link w:val="58"/>
    <w:qFormat/>
    <w:uiPriority w:val="1"/>
    <w:pPr>
      <w:keepNext/>
      <w:keepLines/>
      <w:widowControl/>
      <w:numPr>
        <w:ilvl w:val="1"/>
        <w:numId w:val="1"/>
      </w:numPr>
      <w:adjustRightInd w:val="0"/>
      <w:spacing w:before="240" w:after="120"/>
      <w:ind w:left="1138" w:hanging="1138"/>
      <w:outlineLvl w:val="1"/>
    </w:pPr>
    <w:rPr>
      <w:b/>
      <w:bCs/>
      <w:sz w:val="30"/>
      <w:szCs w:val="32"/>
    </w:rPr>
  </w:style>
  <w:style w:type="paragraph" w:styleId="4">
    <w:name w:val="heading 3"/>
    <w:basedOn w:val="1"/>
    <w:next w:val="1"/>
    <w:link w:val="59"/>
    <w:qFormat/>
    <w:uiPriority w:val="1"/>
    <w:pPr>
      <w:keepNext/>
      <w:keepLines/>
      <w:widowControl/>
      <w:numPr>
        <w:ilvl w:val="2"/>
        <w:numId w:val="1"/>
      </w:numPr>
      <w:adjustRightInd w:val="0"/>
      <w:spacing w:before="240" w:after="120"/>
      <w:outlineLvl w:val="2"/>
    </w:pPr>
    <w:rPr>
      <w:b/>
      <w:bCs/>
      <w:sz w:val="28"/>
      <w:szCs w:val="32"/>
    </w:rPr>
  </w:style>
  <w:style w:type="paragraph" w:styleId="5">
    <w:name w:val="heading 4"/>
    <w:basedOn w:val="1"/>
    <w:next w:val="1"/>
    <w:link w:val="60"/>
    <w:qFormat/>
    <w:uiPriority w:val="1"/>
    <w:pPr>
      <w:keepNext/>
      <w:keepLines/>
      <w:widowControl/>
      <w:numPr>
        <w:ilvl w:val="3"/>
        <w:numId w:val="1"/>
      </w:numPr>
      <w:spacing w:before="240" w:after="120"/>
      <w:ind w:left="200" w:hanging="200" w:hangingChars="200"/>
      <w:outlineLvl w:val="3"/>
    </w:pPr>
    <w:rPr>
      <w:b/>
      <w:bCs/>
      <w:sz w:val="26"/>
      <w:szCs w:val="28"/>
    </w:rPr>
  </w:style>
  <w:style w:type="paragraph" w:styleId="6">
    <w:name w:val="heading 5"/>
    <w:basedOn w:val="1"/>
    <w:next w:val="1"/>
    <w:link w:val="61"/>
    <w:qFormat/>
    <w:uiPriority w:val="1"/>
    <w:pPr>
      <w:keepNext/>
      <w:keepLines/>
      <w:widowControl/>
      <w:numPr>
        <w:ilvl w:val="4"/>
        <w:numId w:val="1"/>
      </w:numPr>
      <w:spacing w:before="240" w:after="120"/>
      <w:outlineLvl w:val="4"/>
    </w:pPr>
    <w:rPr>
      <w:rFonts w:eastAsia="黑体"/>
      <w:b/>
      <w:bCs/>
      <w:sz w:val="24"/>
      <w:szCs w:val="28"/>
    </w:rPr>
  </w:style>
  <w:style w:type="paragraph" w:styleId="7">
    <w:name w:val="heading 6"/>
    <w:basedOn w:val="1"/>
    <w:next w:val="1"/>
    <w:link w:val="62"/>
    <w:qFormat/>
    <w:uiPriority w:val="9"/>
    <w:pPr>
      <w:keepNext/>
      <w:keepLines/>
      <w:widowControl/>
      <w:numPr>
        <w:ilvl w:val="5"/>
        <w:numId w:val="1"/>
      </w:numPr>
      <w:spacing w:before="240" w:after="120"/>
      <w:outlineLvl w:val="5"/>
    </w:pPr>
    <w:rPr>
      <w:b/>
      <w:bCs/>
      <w:sz w:val="24"/>
      <w:szCs w:val="21"/>
    </w:rPr>
  </w:style>
  <w:style w:type="paragraph" w:styleId="8">
    <w:name w:val="heading 7"/>
    <w:basedOn w:val="1"/>
    <w:next w:val="1"/>
    <w:link w:val="63"/>
    <w:qFormat/>
    <w:uiPriority w:val="9"/>
    <w:pPr>
      <w:keepNext/>
      <w:keepLines/>
      <w:widowControl/>
      <w:numPr>
        <w:ilvl w:val="6"/>
        <w:numId w:val="1"/>
      </w:numPr>
      <w:spacing w:before="240" w:after="120"/>
      <w:outlineLvl w:val="6"/>
    </w:pPr>
    <w:rPr>
      <w:rFonts w:eastAsia="黑体"/>
      <w:bCs/>
      <w:sz w:val="24"/>
      <w:szCs w:val="21"/>
    </w:rPr>
  </w:style>
  <w:style w:type="paragraph" w:styleId="9">
    <w:name w:val="heading 8"/>
    <w:basedOn w:val="1"/>
    <w:next w:val="1"/>
    <w:link w:val="64"/>
    <w:qFormat/>
    <w:uiPriority w:val="9"/>
    <w:pPr>
      <w:keepNext/>
      <w:keepLines/>
      <w:widowControl/>
      <w:numPr>
        <w:ilvl w:val="7"/>
        <w:numId w:val="1"/>
      </w:numPr>
      <w:spacing w:before="240" w:after="120"/>
      <w:outlineLvl w:val="7"/>
    </w:pPr>
    <w:rPr>
      <w:sz w:val="24"/>
      <w:szCs w:val="21"/>
    </w:rPr>
  </w:style>
  <w:style w:type="paragraph" w:styleId="10">
    <w:name w:val="heading 9"/>
    <w:basedOn w:val="1"/>
    <w:next w:val="1"/>
    <w:link w:val="65"/>
    <w:qFormat/>
    <w:uiPriority w:val="9"/>
    <w:pPr>
      <w:keepNext/>
      <w:keepLines/>
      <w:widowControl/>
      <w:numPr>
        <w:ilvl w:val="8"/>
        <w:numId w:val="1"/>
      </w:numPr>
      <w:spacing w:before="240" w:after="120"/>
      <w:outlineLvl w:val="8"/>
    </w:pPr>
    <w:rPr>
      <w:sz w:val="24"/>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tabs>
        <w:tab w:val="right" w:leader="dot" w:pos="9241"/>
      </w:tabs>
      <w:ind w:firstLine="505" w:firstLineChars="500"/>
      <w:jc w:val="left"/>
    </w:pPr>
    <w:rPr>
      <w:szCs w:val="21"/>
    </w:rPr>
  </w:style>
  <w:style w:type="paragraph" w:styleId="12">
    <w:name w:val="index 8"/>
    <w:basedOn w:val="1"/>
    <w:next w:val="1"/>
    <w:qFormat/>
    <w:uiPriority w:val="0"/>
    <w:pPr>
      <w:ind w:left="1680" w:hanging="210"/>
      <w:jc w:val="left"/>
    </w:pPr>
    <w:rPr>
      <w:rFonts w:ascii="Calibri" w:hAnsi="Calibri"/>
      <w:sz w:val="20"/>
      <w:szCs w:val="20"/>
    </w:rPr>
  </w:style>
  <w:style w:type="paragraph" w:styleId="13">
    <w:name w:val="Normal Indent"/>
    <w:basedOn w:val="1"/>
    <w:next w:val="1"/>
    <w:qFormat/>
    <w:uiPriority w:val="0"/>
    <w:pPr>
      <w:ind w:firstLine="420"/>
    </w:pPr>
    <w:rPr>
      <w:rFonts w:ascii="黑体" w:hAnsi="黑体" w:eastAsia="黑体"/>
      <w:kern w:val="0"/>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semiHidden/>
    <w:qFormat/>
    <w:uiPriority w:val="0"/>
    <w:pPr>
      <w:shd w:val="clear" w:color="auto" w:fill="000080"/>
    </w:pPr>
  </w:style>
  <w:style w:type="paragraph" w:styleId="17">
    <w:name w:val="annotation text"/>
    <w:basedOn w:val="1"/>
    <w:link w:val="66"/>
    <w:qFormat/>
    <w:uiPriority w:val="0"/>
    <w:pPr>
      <w:jc w:val="left"/>
    </w:pPr>
  </w:style>
  <w:style w:type="paragraph" w:styleId="18">
    <w:name w:val="index 6"/>
    <w:basedOn w:val="1"/>
    <w:next w:val="1"/>
    <w:qFormat/>
    <w:uiPriority w:val="0"/>
    <w:pPr>
      <w:ind w:left="1260" w:hanging="210"/>
      <w:jc w:val="left"/>
    </w:pPr>
    <w:rPr>
      <w:rFonts w:ascii="Calibri" w:hAnsi="Calibri"/>
      <w:sz w:val="20"/>
      <w:szCs w:val="20"/>
    </w:rPr>
  </w:style>
  <w:style w:type="paragraph" w:styleId="19">
    <w:name w:val="Body Text"/>
    <w:basedOn w:val="1"/>
    <w:link w:val="67"/>
    <w:qFormat/>
    <w:uiPriority w:val="0"/>
    <w:pPr>
      <w:autoSpaceDE w:val="0"/>
      <w:autoSpaceDN w:val="0"/>
    </w:pPr>
    <w:rPr>
      <w:rFonts w:ascii="黑体" w:hAnsi="黑体" w:eastAsia="黑体"/>
      <w:kern w:val="0"/>
      <w:szCs w:val="21"/>
      <w:lang w:val="ca-ES" w:eastAsia="en-US"/>
    </w:rPr>
  </w:style>
  <w:style w:type="paragraph" w:styleId="20">
    <w:name w:val="index 4"/>
    <w:basedOn w:val="1"/>
    <w:next w:val="1"/>
    <w:qFormat/>
    <w:uiPriority w:val="0"/>
    <w:pPr>
      <w:ind w:left="840" w:hanging="210"/>
      <w:jc w:val="left"/>
    </w:pPr>
    <w:rPr>
      <w:rFonts w:ascii="Calibri" w:hAnsi="Calibri"/>
      <w:sz w:val="20"/>
      <w:szCs w:val="20"/>
    </w:rPr>
  </w:style>
  <w:style w:type="paragraph" w:styleId="21">
    <w:name w:val="toc 5"/>
    <w:basedOn w:val="1"/>
    <w:next w:val="1"/>
    <w:semiHidden/>
    <w:qFormat/>
    <w:uiPriority w:val="0"/>
    <w:pPr>
      <w:tabs>
        <w:tab w:val="right" w:leader="dot" w:pos="9241"/>
      </w:tabs>
      <w:ind w:firstLine="300" w:firstLineChars="300"/>
      <w:jc w:val="left"/>
    </w:pPr>
    <w:rPr>
      <w:szCs w:val="21"/>
    </w:rPr>
  </w:style>
  <w:style w:type="paragraph" w:styleId="22">
    <w:name w:val="toc 3"/>
    <w:basedOn w:val="1"/>
    <w:next w:val="1"/>
    <w:qFormat/>
    <w:uiPriority w:val="39"/>
    <w:pPr>
      <w:tabs>
        <w:tab w:val="right" w:leader="dot" w:pos="9241"/>
      </w:tabs>
      <w:ind w:firstLine="102" w:firstLineChars="100"/>
      <w:jc w:val="left"/>
    </w:pPr>
    <w:rPr>
      <w:szCs w:val="21"/>
    </w:rPr>
  </w:style>
  <w:style w:type="paragraph" w:styleId="23">
    <w:name w:val="toc 8"/>
    <w:basedOn w:val="1"/>
    <w:next w:val="1"/>
    <w:semiHidden/>
    <w:qFormat/>
    <w:uiPriority w:val="0"/>
    <w:pPr>
      <w:tabs>
        <w:tab w:val="right" w:leader="dot" w:pos="9241"/>
      </w:tabs>
      <w:ind w:firstLine="607" w:firstLineChars="600"/>
      <w:jc w:val="left"/>
    </w:pPr>
    <w:rPr>
      <w:szCs w:val="21"/>
    </w:rPr>
  </w:style>
  <w:style w:type="paragraph" w:styleId="24">
    <w:name w:val="index 3"/>
    <w:basedOn w:val="1"/>
    <w:next w:val="1"/>
    <w:qFormat/>
    <w:uiPriority w:val="0"/>
    <w:pPr>
      <w:ind w:left="630" w:hanging="210"/>
      <w:jc w:val="left"/>
    </w:pPr>
    <w:rPr>
      <w:rFonts w:ascii="Calibri" w:hAnsi="Calibri"/>
      <w:sz w:val="20"/>
      <w:szCs w:val="20"/>
    </w:rPr>
  </w:style>
  <w:style w:type="paragraph" w:styleId="25">
    <w:name w:val="Date"/>
    <w:basedOn w:val="1"/>
    <w:next w:val="1"/>
    <w:link w:val="68"/>
    <w:qFormat/>
    <w:uiPriority w:val="0"/>
    <w:pPr>
      <w:ind w:left="100" w:leftChars="2500"/>
    </w:pPr>
  </w:style>
  <w:style w:type="paragraph" w:styleId="26">
    <w:name w:val="endnote text"/>
    <w:basedOn w:val="1"/>
    <w:semiHidden/>
    <w:qFormat/>
    <w:uiPriority w:val="0"/>
    <w:pPr>
      <w:snapToGrid w:val="0"/>
      <w:jc w:val="left"/>
    </w:pPr>
  </w:style>
  <w:style w:type="paragraph" w:styleId="27">
    <w:name w:val="Balloon Text"/>
    <w:basedOn w:val="1"/>
    <w:link w:val="69"/>
    <w:qFormat/>
    <w:uiPriority w:val="99"/>
    <w:rPr>
      <w:rFonts w:ascii="Calibri" w:hAnsi="Calibri" w:cs="Calibri"/>
      <w:sz w:val="18"/>
      <w:szCs w:val="18"/>
    </w:rPr>
  </w:style>
  <w:style w:type="paragraph" w:styleId="28">
    <w:name w:val="footer"/>
    <w:basedOn w:val="1"/>
    <w:link w:val="70"/>
    <w:qFormat/>
    <w:uiPriority w:val="99"/>
    <w:pPr>
      <w:snapToGrid w:val="0"/>
      <w:ind w:right="210" w:rightChars="100"/>
      <w:jc w:val="right"/>
    </w:pPr>
    <w:rPr>
      <w:sz w:val="18"/>
      <w:szCs w:val="18"/>
    </w:rPr>
  </w:style>
  <w:style w:type="paragraph" w:styleId="29">
    <w:name w:val="header"/>
    <w:basedOn w:val="1"/>
    <w:link w:val="71"/>
    <w:qFormat/>
    <w:uiPriority w:val="99"/>
    <w:pPr>
      <w:snapToGrid w:val="0"/>
      <w:jc w:val="left"/>
    </w:pPr>
    <w:rPr>
      <w:sz w:val="18"/>
      <w:szCs w:val="18"/>
    </w:rPr>
  </w:style>
  <w:style w:type="paragraph" w:styleId="30">
    <w:name w:val="toc 1"/>
    <w:basedOn w:val="1"/>
    <w:next w:val="1"/>
    <w:qFormat/>
    <w:uiPriority w:val="39"/>
    <w:pPr>
      <w:tabs>
        <w:tab w:val="right" w:leader="dot" w:pos="9241"/>
      </w:tabs>
      <w:spacing w:before="78" w:beforeLines="25" w:after="78" w:afterLines="25"/>
      <w:jc w:val="left"/>
    </w:pPr>
    <w:rPr>
      <w:szCs w:val="21"/>
    </w:rPr>
  </w:style>
  <w:style w:type="paragraph" w:styleId="31">
    <w:name w:val="toc 4"/>
    <w:basedOn w:val="1"/>
    <w:next w:val="1"/>
    <w:semiHidden/>
    <w:qFormat/>
    <w:uiPriority w:val="0"/>
    <w:pPr>
      <w:tabs>
        <w:tab w:val="right" w:leader="dot" w:pos="9241"/>
      </w:tabs>
      <w:ind w:firstLine="198" w:firstLineChars="200"/>
      <w:jc w:val="left"/>
    </w:pPr>
    <w:rPr>
      <w:szCs w:val="21"/>
    </w:rPr>
  </w:style>
  <w:style w:type="paragraph" w:styleId="32">
    <w:name w:val="index heading"/>
    <w:basedOn w:val="1"/>
    <w:next w:val="33"/>
    <w:qFormat/>
    <w:uiPriority w:val="0"/>
    <w:pPr>
      <w:spacing w:before="120" w:after="120"/>
    </w:pPr>
    <w:rPr>
      <w:rFonts w:ascii="Calibri" w:hAnsi="Calibri"/>
      <w:b/>
      <w:bCs/>
      <w:iCs/>
      <w:szCs w:val="20"/>
    </w:rPr>
  </w:style>
  <w:style w:type="paragraph" w:styleId="33">
    <w:name w:val="index 1"/>
    <w:basedOn w:val="1"/>
    <w:next w:val="34"/>
    <w:qFormat/>
    <w:uiPriority w:val="0"/>
    <w:pPr>
      <w:tabs>
        <w:tab w:val="right" w:leader="dot" w:pos="9299"/>
      </w:tabs>
      <w:jc w:val="left"/>
    </w:pPr>
    <w:rPr>
      <w:szCs w:val="21"/>
    </w:rPr>
  </w:style>
  <w:style w:type="paragraph" w:customStyle="1" w:styleId="34">
    <w:name w:val="段"/>
    <w:link w:val="72"/>
    <w:qFormat/>
    <w:uiPriority w:val="0"/>
    <w:pPr>
      <w:tabs>
        <w:tab w:val="center" w:pos="4201"/>
        <w:tab w:val="right" w:leader="dot" w:pos="9298"/>
      </w:tabs>
      <w:autoSpaceDE w:val="0"/>
      <w:autoSpaceDN w:val="0"/>
      <w:spacing w:before="50" w:beforeLines="50" w:after="50" w:afterLines="50"/>
      <w:ind w:firstLine="200" w:firstLineChars="200"/>
      <w:jc w:val="both"/>
    </w:pPr>
    <w:rPr>
      <w:rFonts w:ascii="宋体" w:hAnsi="宋体" w:eastAsia="宋体" w:cs="Times New Roman"/>
      <w:sz w:val="24"/>
      <w:lang w:val="en-US" w:eastAsia="zh-CN" w:bidi="ar-SA"/>
    </w:rPr>
  </w:style>
  <w:style w:type="paragraph" w:styleId="35">
    <w:name w:val="footnote text"/>
    <w:basedOn w:val="1"/>
    <w:qFormat/>
    <w:uiPriority w:val="0"/>
    <w:pPr>
      <w:numPr>
        <w:ilvl w:val="0"/>
        <w:numId w:val="2"/>
      </w:numPr>
      <w:snapToGrid w:val="0"/>
      <w:jc w:val="left"/>
    </w:pPr>
    <w:rPr>
      <w:sz w:val="18"/>
      <w:szCs w:val="18"/>
    </w:rPr>
  </w:style>
  <w:style w:type="paragraph" w:styleId="36">
    <w:name w:val="toc 6"/>
    <w:basedOn w:val="1"/>
    <w:next w:val="1"/>
    <w:semiHidden/>
    <w:qFormat/>
    <w:uiPriority w:val="0"/>
    <w:pPr>
      <w:tabs>
        <w:tab w:val="right" w:leader="dot" w:pos="9241"/>
      </w:tabs>
      <w:ind w:firstLine="403" w:firstLineChars="400"/>
      <w:jc w:val="left"/>
    </w:pPr>
    <w:rPr>
      <w:szCs w:val="21"/>
    </w:rPr>
  </w:style>
  <w:style w:type="paragraph" w:styleId="37">
    <w:name w:val="index 7"/>
    <w:basedOn w:val="1"/>
    <w:next w:val="1"/>
    <w:qFormat/>
    <w:uiPriority w:val="0"/>
    <w:pPr>
      <w:ind w:left="1470" w:hanging="210"/>
      <w:jc w:val="left"/>
    </w:pPr>
    <w:rPr>
      <w:rFonts w:ascii="Calibri" w:hAnsi="Calibri"/>
      <w:sz w:val="20"/>
      <w:szCs w:val="20"/>
    </w:rPr>
  </w:style>
  <w:style w:type="paragraph" w:styleId="38">
    <w:name w:val="index 9"/>
    <w:basedOn w:val="1"/>
    <w:next w:val="1"/>
    <w:qFormat/>
    <w:uiPriority w:val="0"/>
    <w:pPr>
      <w:ind w:left="1890" w:hanging="210"/>
      <w:jc w:val="left"/>
    </w:pPr>
    <w:rPr>
      <w:rFonts w:ascii="Calibri" w:hAnsi="Calibri"/>
      <w:sz w:val="20"/>
      <w:szCs w:val="20"/>
    </w:rPr>
  </w:style>
  <w:style w:type="paragraph" w:styleId="39">
    <w:name w:val="toc 2"/>
    <w:basedOn w:val="1"/>
    <w:next w:val="1"/>
    <w:qFormat/>
    <w:uiPriority w:val="39"/>
    <w:pPr>
      <w:tabs>
        <w:tab w:val="right" w:leader="dot" w:pos="9241"/>
      </w:tabs>
    </w:pPr>
    <w:rPr>
      <w:szCs w:val="21"/>
    </w:rPr>
  </w:style>
  <w:style w:type="paragraph" w:styleId="40">
    <w:name w:val="toc 9"/>
    <w:basedOn w:val="1"/>
    <w:next w:val="1"/>
    <w:semiHidden/>
    <w:qFormat/>
    <w:uiPriority w:val="0"/>
    <w:pPr>
      <w:ind w:left="1470"/>
      <w:jc w:val="left"/>
    </w:pPr>
    <w:rPr>
      <w:sz w:val="20"/>
      <w:szCs w:val="20"/>
    </w:rPr>
  </w:style>
  <w:style w:type="paragraph" w:styleId="41">
    <w:name w:val="Normal (Web)"/>
    <w:basedOn w:val="1"/>
    <w:unhideWhenUsed/>
    <w:qFormat/>
    <w:uiPriority w:val="99"/>
    <w:pPr>
      <w:widowControl/>
      <w:spacing w:before="100" w:beforeAutospacing="1" w:after="100" w:afterAutospacing="1"/>
      <w:jc w:val="left"/>
    </w:pPr>
    <w:rPr>
      <w:rFonts w:cs="宋体"/>
      <w:kern w:val="0"/>
      <w:sz w:val="24"/>
    </w:rPr>
  </w:style>
  <w:style w:type="paragraph" w:styleId="42">
    <w:name w:val="index 2"/>
    <w:basedOn w:val="1"/>
    <w:next w:val="1"/>
    <w:qFormat/>
    <w:uiPriority w:val="0"/>
    <w:pPr>
      <w:ind w:left="420" w:hanging="210"/>
      <w:jc w:val="left"/>
    </w:pPr>
    <w:rPr>
      <w:rFonts w:ascii="Calibri" w:hAnsi="Calibri"/>
      <w:sz w:val="20"/>
      <w:szCs w:val="20"/>
    </w:rPr>
  </w:style>
  <w:style w:type="paragraph" w:styleId="43">
    <w:name w:val="Title"/>
    <w:basedOn w:val="1"/>
    <w:link w:val="73"/>
    <w:qFormat/>
    <w:uiPriority w:val="1"/>
    <w:pPr>
      <w:autoSpaceDE w:val="0"/>
      <w:autoSpaceDN w:val="0"/>
      <w:ind w:left="576"/>
      <w:jc w:val="left"/>
    </w:pPr>
    <w:rPr>
      <w:rFonts w:ascii="黑体" w:hAnsi="黑体" w:eastAsia="黑体"/>
      <w:kern w:val="0"/>
      <w:sz w:val="52"/>
      <w:szCs w:val="52"/>
      <w:lang w:val="ca-ES" w:eastAsia="en-US"/>
    </w:rPr>
  </w:style>
  <w:style w:type="paragraph" w:styleId="44">
    <w:name w:val="annotation subject"/>
    <w:basedOn w:val="17"/>
    <w:next w:val="17"/>
    <w:link w:val="74"/>
    <w:qFormat/>
    <w:uiPriority w:val="99"/>
    <w:rPr>
      <w:b/>
      <w:bCs/>
    </w:rPr>
  </w:style>
  <w:style w:type="table" w:styleId="46">
    <w:name w:val="Table Grid"/>
    <w:basedOn w:val="45"/>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page number"/>
    <w:basedOn w:val="47"/>
    <w:qFormat/>
    <w:uiPriority w:val="0"/>
    <w:rPr>
      <w:rFonts w:ascii="Times New Roman" w:hAnsi="Times New Roman" w:eastAsia="宋体"/>
      <w:sz w:val="18"/>
    </w:rPr>
  </w:style>
  <w:style w:type="character" w:styleId="51">
    <w:name w:val="FollowedHyperlink"/>
    <w:qFormat/>
    <w:uiPriority w:val="99"/>
    <w:rPr>
      <w:color w:val="800080"/>
      <w:u w:val="single"/>
    </w:rPr>
  </w:style>
  <w:style w:type="character" w:styleId="52">
    <w:name w:val="Emphasis"/>
    <w:qFormat/>
    <w:uiPriority w:val="20"/>
    <w:rPr>
      <w:i/>
      <w:iCs/>
    </w:rPr>
  </w:style>
  <w:style w:type="character" w:styleId="53">
    <w:name w:val="Hyperlink"/>
    <w:qFormat/>
    <w:uiPriority w:val="99"/>
    <w:rPr>
      <w:color w:val="0000FF"/>
      <w:spacing w:val="0"/>
      <w:w w:val="100"/>
      <w:szCs w:val="21"/>
      <w:u w:val="single"/>
    </w:rPr>
  </w:style>
  <w:style w:type="character" w:styleId="54">
    <w:name w:val="annotation reference"/>
    <w:qFormat/>
    <w:uiPriority w:val="99"/>
    <w:rPr>
      <w:sz w:val="21"/>
      <w:szCs w:val="21"/>
    </w:rPr>
  </w:style>
  <w:style w:type="character" w:styleId="55">
    <w:name w:val="footnote reference"/>
    <w:semiHidden/>
    <w:qFormat/>
    <w:uiPriority w:val="0"/>
    <w:rPr>
      <w:vertAlign w:val="superscript"/>
    </w:rPr>
  </w:style>
  <w:style w:type="character" w:customStyle="1" w:styleId="56">
    <w:name w:val="页脚 字符"/>
    <w:qFormat/>
    <w:uiPriority w:val="99"/>
    <w:rPr>
      <w:kern w:val="2"/>
      <w:sz w:val="18"/>
    </w:rPr>
  </w:style>
  <w:style w:type="character" w:customStyle="1" w:styleId="57">
    <w:name w:val="标题 1 字符"/>
    <w:link w:val="2"/>
    <w:qFormat/>
    <w:uiPriority w:val="1"/>
    <w:rPr>
      <w:rFonts w:ascii="宋体" w:hAnsi="宋体"/>
      <w:b/>
      <w:bCs/>
      <w:kern w:val="2"/>
      <w:sz w:val="32"/>
      <w:szCs w:val="28"/>
      <w:lang w:eastAsia="ja-JP"/>
    </w:rPr>
  </w:style>
  <w:style w:type="character" w:customStyle="1" w:styleId="58">
    <w:name w:val="标题 2 字符"/>
    <w:link w:val="3"/>
    <w:qFormat/>
    <w:uiPriority w:val="1"/>
    <w:rPr>
      <w:rFonts w:ascii="宋体" w:hAnsi="宋体"/>
      <w:b/>
      <w:bCs/>
      <w:kern w:val="2"/>
      <w:sz w:val="30"/>
      <w:szCs w:val="32"/>
    </w:rPr>
  </w:style>
  <w:style w:type="character" w:customStyle="1" w:styleId="59">
    <w:name w:val="标题 3 字符"/>
    <w:link w:val="4"/>
    <w:qFormat/>
    <w:uiPriority w:val="1"/>
    <w:rPr>
      <w:rFonts w:ascii="宋体" w:hAnsi="宋体"/>
      <w:b/>
      <w:bCs/>
      <w:kern w:val="2"/>
      <w:sz w:val="28"/>
      <w:szCs w:val="32"/>
    </w:rPr>
  </w:style>
  <w:style w:type="character" w:customStyle="1" w:styleId="60">
    <w:name w:val="标题 4 字符"/>
    <w:link w:val="5"/>
    <w:qFormat/>
    <w:uiPriority w:val="1"/>
    <w:rPr>
      <w:rFonts w:ascii="宋体" w:hAnsi="宋体"/>
      <w:b/>
      <w:bCs/>
      <w:kern w:val="2"/>
      <w:sz w:val="26"/>
      <w:szCs w:val="28"/>
    </w:rPr>
  </w:style>
  <w:style w:type="character" w:customStyle="1" w:styleId="61">
    <w:name w:val="标题 5 字符"/>
    <w:link w:val="6"/>
    <w:qFormat/>
    <w:uiPriority w:val="1"/>
    <w:rPr>
      <w:rFonts w:ascii="宋体" w:hAnsi="宋体" w:eastAsia="黑体"/>
      <w:b/>
      <w:bCs/>
      <w:kern w:val="2"/>
      <w:sz w:val="24"/>
      <w:szCs w:val="28"/>
    </w:rPr>
  </w:style>
  <w:style w:type="character" w:customStyle="1" w:styleId="62">
    <w:name w:val="标题 6 字符"/>
    <w:link w:val="7"/>
    <w:qFormat/>
    <w:uiPriority w:val="9"/>
    <w:rPr>
      <w:rFonts w:ascii="宋体" w:hAnsi="宋体"/>
      <w:b/>
      <w:bCs/>
      <w:kern w:val="2"/>
      <w:sz w:val="24"/>
      <w:szCs w:val="21"/>
    </w:rPr>
  </w:style>
  <w:style w:type="character" w:customStyle="1" w:styleId="63">
    <w:name w:val="标题 7 字符"/>
    <w:link w:val="8"/>
    <w:qFormat/>
    <w:uiPriority w:val="9"/>
    <w:rPr>
      <w:rFonts w:ascii="宋体" w:hAnsi="宋体" w:eastAsia="黑体"/>
      <w:bCs/>
      <w:kern w:val="2"/>
      <w:sz w:val="24"/>
      <w:szCs w:val="21"/>
    </w:rPr>
  </w:style>
  <w:style w:type="character" w:customStyle="1" w:styleId="64">
    <w:name w:val="标题 8 字符"/>
    <w:link w:val="9"/>
    <w:qFormat/>
    <w:uiPriority w:val="9"/>
    <w:rPr>
      <w:rFonts w:ascii="宋体" w:hAnsi="宋体"/>
      <w:kern w:val="2"/>
      <w:sz w:val="24"/>
      <w:szCs w:val="21"/>
    </w:rPr>
  </w:style>
  <w:style w:type="character" w:customStyle="1" w:styleId="65">
    <w:name w:val="标题 9 字符"/>
    <w:link w:val="10"/>
    <w:qFormat/>
    <w:uiPriority w:val="9"/>
    <w:rPr>
      <w:rFonts w:ascii="宋体" w:hAnsi="宋体"/>
      <w:kern w:val="2"/>
      <w:sz w:val="24"/>
      <w:szCs w:val="21"/>
    </w:rPr>
  </w:style>
  <w:style w:type="character" w:customStyle="1" w:styleId="66">
    <w:name w:val="批注文字 字符"/>
    <w:link w:val="17"/>
    <w:qFormat/>
    <w:uiPriority w:val="0"/>
    <w:rPr>
      <w:kern w:val="2"/>
      <w:sz w:val="21"/>
      <w:szCs w:val="24"/>
    </w:rPr>
  </w:style>
  <w:style w:type="character" w:customStyle="1" w:styleId="67">
    <w:name w:val="正文文本 字符"/>
    <w:link w:val="19"/>
    <w:qFormat/>
    <w:uiPriority w:val="0"/>
    <w:rPr>
      <w:rFonts w:ascii="黑体" w:hAnsi="黑体" w:eastAsia="黑体"/>
      <w:sz w:val="21"/>
      <w:szCs w:val="21"/>
      <w:lang w:val="ca-ES" w:eastAsia="en-US"/>
    </w:rPr>
  </w:style>
  <w:style w:type="character" w:customStyle="1" w:styleId="68">
    <w:name w:val="日期 字符"/>
    <w:link w:val="25"/>
    <w:qFormat/>
    <w:uiPriority w:val="0"/>
    <w:rPr>
      <w:kern w:val="2"/>
      <w:sz w:val="21"/>
      <w:szCs w:val="24"/>
    </w:rPr>
  </w:style>
  <w:style w:type="character" w:customStyle="1" w:styleId="69">
    <w:name w:val="批注框文本 字符"/>
    <w:link w:val="27"/>
    <w:qFormat/>
    <w:uiPriority w:val="99"/>
    <w:rPr>
      <w:rFonts w:ascii="Calibri" w:hAnsi="Calibri" w:eastAsia="宋体" w:cs="Calibri"/>
      <w:kern w:val="2"/>
      <w:sz w:val="18"/>
      <w:szCs w:val="18"/>
      <w:lang w:val="en-US" w:eastAsia="zh-CN" w:bidi="ar-SA"/>
    </w:rPr>
  </w:style>
  <w:style w:type="character" w:customStyle="1" w:styleId="70">
    <w:name w:val="页脚 字符1"/>
    <w:link w:val="28"/>
    <w:qFormat/>
    <w:locked/>
    <w:uiPriority w:val="99"/>
    <w:rPr>
      <w:rFonts w:eastAsia="宋体"/>
      <w:kern w:val="2"/>
      <w:sz w:val="18"/>
      <w:szCs w:val="18"/>
      <w:lang w:val="en-US" w:eastAsia="zh-CN" w:bidi="ar-SA"/>
    </w:rPr>
  </w:style>
  <w:style w:type="character" w:customStyle="1" w:styleId="71">
    <w:name w:val="页眉 字符"/>
    <w:link w:val="29"/>
    <w:qFormat/>
    <w:locked/>
    <w:uiPriority w:val="99"/>
    <w:rPr>
      <w:rFonts w:eastAsia="宋体"/>
      <w:kern w:val="2"/>
      <w:sz w:val="18"/>
      <w:szCs w:val="18"/>
      <w:lang w:val="en-US" w:eastAsia="zh-CN" w:bidi="ar-SA"/>
    </w:rPr>
  </w:style>
  <w:style w:type="character" w:customStyle="1" w:styleId="72">
    <w:name w:val="段 Char"/>
    <w:link w:val="34"/>
    <w:qFormat/>
    <w:uiPriority w:val="0"/>
    <w:rPr>
      <w:rFonts w:ascii="宋体" w:hAnsi="宋体" w:eastAsia="宋体"/>
      <w:sz w:val="24"/>
      <w:lang w:val="en-US" w:eastAsia="zh-CN" w:bidi="ar-SA"/>
    </w:rPr>
  </w:style>
  <w:style w:type="character" w:customStyle="1" w:styleId="73">
    <w:name w:val="标题 字符"/>
    <w:link w:val="43"/>
    <w:qFormat/>
    <w:uiPriority w:val="1"/>
    <w:rPr>
      <w:rFonts w:ascii="黑体" w:hAnsi="黑体" w:eastAsia="黑体" w:cs="黑体"/>
      <w:sz w:val="52"/>
      <w:szCs w:val="52"/>
      <w:lang w:val="ca-ES" w:eastAsia="en-US"/>
    </w:rPr>
  </w:style>
  <w:style w:type="character" w:customStyle="1" w:styleId="74">
    <w:name w:val="批注主题 字符"/>
    <w:link w:val="44"/>
    <w:qFormat/>
    <w:uiPriority w:val="99"/>
    <w:rPr>
      <w:b/>
      <w:bCs/>
      <w:kern w:val="2"/>
      <w:sz w:val="21"/>
      <w:szCs w:val="24"/>
    </w:rPr>
  </w:style>
  <w:style w:type="character" w:customStyle="1" w:styleId="75">
    <w:name w:val="章标题 Char"/>
    <w:link w:val="76"/>
    <w:qFormat/>
    <w:uiPriority w:val="0"/>
    <w:rPr>
      <w:rFonts w:ascii="黑体" w:eastAsia="黑体"/>
      <w:sz w:val="21"/>
    </w:rPr>
  </w:style>
  <w:style w:type="paragraph" w:customStyle="1" w:styleId="76">
    <w:name w:val="章标题"/>
    <w:next w:val="34"/>
    <w:link w:val="75"/>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77">
    <w:name w:val="_HT_列表（数字） Char"/>
    <w:link w:val="78"/>
    <w:qFormat/>
    <w:uiPriority w:val="0"/>
    <w:rPr>
      <w:rFonts w:ascii="宋体" w:hAnsi="宋体"/>
      <w:kern w:val="2"/>
      <w:sz w:val="24"/>
      <w:szCs w:val="21"/>
    </w:rPr>
  </w:style>
  <w:style w:type="paragraph" w:customStyle="1" w:styleId="78">
    <w:name w:val="_HT_列表（数字）"/>
    <w:basedOn w:val="1"/>
    <w:link w:val="77"/>
    <w:qFormat/>
    <w:uiPriority w:val="0"/>
    <w:pPr>
      <w:widowControl/>
      <w:numPr>
        <w:ilvl w:val="0"/>
        <w:numId w:val="4"/>
      </w:numPr>
      <w:spacing w:line="480" w:lineRule="exact"/>
    </w:pPr>
    <w:rPr>
      <w:sz w:val="24"/>
      <w:szCs w:val="21"/>
    </w:rPr>
  </w:style>
  <w:style w:type="character" w:customStyle="1" w:styleId="79">
    <w:name w:val="发布"/>
    <w:qFormat/>
    <w:uiPriority w:val="0"/>
    <w:rPr>
      <w:rFonts w:ascii="黑体" w:eastAsia="黑体"/>
      <w:spacing w:val="85"/>
      <w:w w:val="100"/>
      <w:position w:val="3"/>
      <w:sz w:val="28"/>
      <w:szCs w:val="28"/>
    </w:rPr>
  </w:style>
  <w:style w:type="character" w:customStyle="1" w:styleId="80">
    <w:name w:val="注： Char"/>
    <w:link w:val="81"/>
    <w:qFormat/>
    <w:uiPriority w:val="0"/>
    <w:rPr>
      <w:rFonts w:ascii="宋体"/>
      <w:sz w:val="18"/>
      <w:szCs w:val="18"/>
    </w:rPr>
  </w:style>
  <w:style w:type="paragraph" w:customStyle="1" w:styleId="81">
    <w:name w:val="注："/>
    <w:next w:val="34"/>
    <w:link w:val="80"/>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82">
    <w:name w:val="Char Char4"/>
    <w:qFormat/>
    <w:uiPriority w:val="0"/>
    <w:rPr>
      <w:rFonts w:ascii="Calibri" w:hAnsi="Calibri" w:eastAsia="宋体" w:cs="Calibri"/>
      <w:b/>
      <w:bCs/>
      <w:kern w:val="2"/>
      <w:sz w:val="24"/>
      <w:szCs w:val="24"/>
      <w:lang w:val="en-US" w:eastAsia="zh-CN" w:bidi="ar-SA"/>
    </w:rPr>
  </w:style>
  <w:style w:type="character" w:customStyle="1" w:styleId="83">
    <w:name w:val="Char Char3"/>
    <w:qFormat/>
    <w:uiPriority w:val="0"/>
    <w:rPr>
      <w:rFonts w:ascii="Cambria" w:hAnsi="Cambria" w:eastAsia="宋体" w:cs="Cambria"/>
      <w:b/>
      <w:bCs/>
      <w:kern w:val="2"/>
      <w:sz w:val="24"/>
      <w:szCs w:val="24"/>
      <w:lang w:val="en-US" w:eastAsia="zh-CN" w:bidi="ar-SA"/>
    </w:rPr>
  </w:style>
  <w:style w:type="character" w:customStyle="1" w:styleId="84">
    <w:name w:val="Char Char7"/>
    <w:qFormat/>
    <w:uiPriority w:val="0"/>
    <w:rPr>
      <w:rFonts w:ascii="Cambria" w:hAnsi="Cambria" w:eastAsia="宋体" w:cs="Cambria"/>
      <w:b/>
      <w:bCs/>
      <w:kern w:val="2"/>
      <w:sz w:val="30"/>
      <w:szCs w:val="30"/>
      <w:lang w:val="en-US" w:eastAsia="zh-CN" w:bidi="ar-SA"/>
    </w:rPr>
  </w:style>
  <w:style w:type="character" w:customStyle="1" w:styleId="85">
    <w:name w:val="Char Char8"/>
    <w:qFormat/>
    <w:uiPriority w:val="0"/>
    <w:rPr>
      <w:rFonts w:ascii="Calibri" w:hAnsi="Calibri" w:eastAsia="黑体" w:cs="Calibri"/>
      <w:b/>
      <w:bCs/>
      <w:kern w:val="44"/>
      <w:sz w:val="32"/>
      <w:szCs w:val="32"/>
      <w:lang w:val="en-US" w:eastAsia="zh-CN" w:bidi="ar-SA"/>
    </w:rPr>
  </w:style>
  <w:style w:type="character" w:customStyle="1" w:styleId="86">
    <w:name w:val="Char Char6"/>
    <w:qFormat/>
    <w:uiPriority w:val="0"/>
    <w:rPr>
      <w:rFonts w:ascii="Calibri" w:hAnsi="Calibri" w:eastAsia="宋体" w:cs="Calibri"/>
      <w:b/>
      <w:bCs/>
      <w:kern w:val="2"/>
      <w:sz w:val="28"/>
      <w:szCs w:val="28"/>
      <w:lang w:val="en-US" w:eastAsia="zh-CN" w:bidi="ar-SA"/>
    </w:rPr>
  </w:style>
  <w:style w:type="character" w:customStyle="1" w:styleId="87">
    <w:name w:val="首示例 Char"/>
    <w:link w:val="88"/>
    <w:qFormat/>
    <w:uiPriority w:val="0"/>
    <w:rPr>
      <w:rFonts w:ascii="宋体" w:hAnsi="宋体"/>
      <w:kern w:val="2"/>
      <w:sz w:val="18"/>
      <w:szCs w:val="18"/>
    </w:rPr>
  </w:style>
  <w:style w:type="paragraph" w:customStyle="1" w:styleId="88">
    <w:name w:val="首示例"/>
    <w:next w:val="34"/>
    <w:link w:val="87"/>
    <w:qFormat/>
    <w:uiPriority w:val="0"/>
    <w:pPr>
      <w:numPr>
        <w:ilvl w:val="0"/>
        <w:numId w:val="6"/>
      </w:numPr>
      <w:tabs>
        <w:tab w:val="left" w:pos="360"/>
      </w:tabs>
      <w:ind w:firstLine="0"/>
    </w:pPr>
    <w:rPr>
      <w:rFonts w:ascii="宋体" w:hAnsi="宋体" w:eastAsia="宋体" w:cs="Times New Roman"/>
      <w:kern w:val="2"/>
      <w:sz w:val="18"/>
      <w:szCs w:val="18"/>
      <w:lang w:val="en-US" w:eastAsia="zh-CN" w:bidi="ar-SA"/>
    </w:rPr>
  </w:style>
  <w:style w:type="character" w:customStyle="1" w:styleId="89">
    <w:name w:val="中等深浅底纹 1 - 着色 2 字符"/>
    <w:link w:val="90"/>
    <w:qFormat/>
    <w:locked/>
    <w:uiPriority w:val="0"/>
    <w:rPr>
      <w:rFonts w:ascii="Calibri" w:hAnsi="Calibri"/>
      <w:sz w:val="22"/>
      <w:szCs w:val="22"/>
      <w:lang w:val="en-US" w:eastAsia="zh-CN" w:bidi="ar-SA"/>
    </w:rPr>
  </w:style>
  <w:style w:type="paragraph" w:customStyle="1" w:styleId="90">
    <w:name w:val="中等深浅底纹 1 - 着色 21"/>
    <w:link w:val="89"/>
    <w:qFormat/>
    <w:uiPriority w:val="0"/>
    <w:rPr>
      <w:rFonts w:ascii="Calibri" w:hAnsi="Calibri" w:eastAsia="宋体" w:cs="Times New Roman"/>
      <w:sz w:val="22"/>
      <w:szCs w:val="22"/>
      <w:lang w:val="en-US" w:eastAsia="zh-CN" w:bidi="ar-SA"/>
    </w:rPr>
  </w:style>
  <w:style w:type="character" w:customStyle="1" w:styleId="91">
    <w:name w:val="附录公式 Char"/>
    <w:link w:val="92"/>
    <w:qFormat/>
    <w:uiPriority w:val="0"/>
    <w:rPr>
      <w:lang w:val="en-US" w:eastAsia="zh-CN" w:bidi="ar-SA"/>
    </w:rPr>
  </w:style>
  <w:style w:type="paragraph" w:customStyle="1" w:styleId="92">
    <w:name w:val="附录公式"/>
    <w:basedOn w:val="34"/>
    <w:next w:val="34"/>
    <w:link w:val="91"/>
    <w:qFormat/>
    <w:uiPriority w:val="0"/>
  </w:style>
  <w:style w:type="character" w:customStyle="1" w:styleId="93">
    <w:name w:val="Char Char5"/>
    <w:qFormat/>
    <w:uiPriority w:val="0"/>
    <w:rPr>
      <w:rFonts w:ascii="Cambria" w:hAnsi="Cambria" w:eastAsia="宋体" w:cs="Cambria"/>
      <w:b/>
      <w:bCs/>
      <w:kern w:val="2"/>
      <w:sz w:val="24"/>
      <w:szCs w:val="24"/>
      <w:lang w:val="en-US" w:eastAsia="zh-CN" w:bidi="ar-SA"/>
    </w:rPr>
  </w:style>
  <w:style w:type="paragraph" w:customStyle="1" w:styleId="94">
    <w:name w:val="font0"/>
    <w:basedOn w:val="1"/>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95">
    <w:name w:val="xl80"/>
    <w:basedOn w:val="1"/>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96">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97">
    <w:name w:val="二级条标题"/>
    <w:basedOn w:val="98"/>
    <w:next w:val="34"/>
    <w:link w:val="99"/>
    <w:qFormat/>
    <w:uiPriority w:val="0"/>
    <w:pPr>
      <w:numPr>
        <w:ilvl w:val="2"/>
      </w:numPr>
      <w:outlineLvl w:val="3"/>
    </w:pPr>
  </w:style>
  <w:style w:type="paragraph" w:customStyle="1" w:styleId="98">
    <w:name w:val="一级条标题"/>
    <w:next w:val="34"/>
    <w:qFormat/>
    <w:uiPriority w:val="0"/>
    <w:pPr>
      <w:numPr>
        <w:ilvl w:val="1"/>
        <w:numId w:val="3"/>
      </w:numPr>
      <w:spacing w:before="50" w:beforeLines="50" w:after="50" w:afterLines="50"/>
      <w:outlineLvl w:val="2"/>
    </w:pPr>
    <w:rPr>
      <w:rFonts w:ascii="黑体" w:hAnsi="Times New Roman" w:eastAsia="黑体" w:cs="Times New Roman"/>
      <w:sz w:val="21"/>
      <w:szCs w:val="21"/>
      <w:lang w:val="en-US" w:eastAsia="zh-CN" w:bidi="ar-SA"/>
    </w:rPr>
  </w:style>
  <w:style w:type="character" w:customStyle="1" w:styleId="99">
    <w:name w:val="二级条标题 Char"/>
    <w:link w:val="97"/>
    <w:qFormat/>
    <w:uiPriority w:val="0"/>
    <w:rPr>
      <w:rFonts w:ascii="黑体" w:eastAsia="黑体"/>
      <w:sz w:val="21"/>
      <w:szCs w:val="21"/>
    </w:rPr>
  </w:style>
  <w:style w:type="paragraph" w:customStyle="1" w:styleId="100">
    <w:name w:val="样式 样式 三级条标题 + 段前: 0.5 行 段后: 0.5 行 + 段前: 0.5 行 段后: 0.5 行"/>
    <w:basedOn w:val="101"/>
    <w:qFormat/>
    <w:uiPriority w:val="0"/>
    <w:pPr>
      <w:numPr>
        <w:ilvl w:val="3"/>
        <w:numId w:val="3"/>
      </w:numPr>
    </w:pPr>
  </w:style>
  <w:style w:type="paragraph" w:customStyle="1" w:styleId="101">
    <w:name w:val="样式 三级条标题 + 段前: 0.5 行 段后: 0.5 行"/>
    <w:basedOn w:val="102"/>
    <w:qFormat/>
    <w:uiPriority w:val="0"/>
    <w:pPr>
      <w:ind w:left="0"/>
    </w:pPr>
    <w:rPr>
      <w:rFonts w:cs="宋体"/>
      <w:szCs w:val="20"/>
    </w:rPr>
  </w:style>
  <w:style w:type="paragraph" w:customStyle="1" w:styleId="102">
    <w:name w:val="三级条标题"/>
    <w:basedOn w:val="97"/>
    <w:next w:val="34"/>
    <w:link w:val="103"/>
    <w:qFormat/>
    <w:uiPriority w:val="0"/>
    <w:pPr>
      <w:numPr>
        <w:ilvl w:val="0"/>
        <w:numId w:val="0"/>
      </w:numPr>
      <w:ind w:left="1843"/>
      <w:outlineLvl w:val="4"/>
    </w:pPr>
  </w:style>
  <w:style w:type="character" w:customStyle="1" w:styleId="103">
    <w:name w:val="三级条标题 Char"/>
    <w:link w:val="102"/>
    <w:qFormat/>
    <w:uiPriority w:val="0"/>
    <w:rPr>
      <w:rFonts w:ascii="黑体" w:eastAsia="黑体"/>
      <w:sz w:val="21"/>
      <w:szCs w:val="21"/>
    </w:rPr>
  </w:style>
  <w:style w:type="paragraph" w:customStyle="1" w:styleId="104">
    <w:name w:val="font6"/>
    <w:basedOn w:val="1"/>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10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6">
    <w:name w:val="xl118"/>
    <w:basedOn w:val="1"/>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07">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108">
    <w:name w:val="附录五级无"/>
    <w:basedOn w:val="109"/>
    <w:qFormat/>
    <w:uiPriority w:val="0"/>
    <w:pPr>
      <w:tabs>
        <w:tab w:val="left" w:pos="360"/>
      </w:tabs>
      <w:spacing w:before="0" w:beforeLines="0" w:after="0" w:afterLines="0"/>
    </w:pPr>
    <w:rPr>
      <w:rFonts w:ascii="宋体" w:eastAsia="宋体"/>
      <w:szCs w:val="21"/>
    </w:rPr>
  </w:style>
  <w:style w:type="paragraph" w:customStyle="1" w:styleId="109">
    <w:name w:val="附录五级条标题"/>
    <w:basedOn w:val="110"/>
    <w:next w:val="34"/>
    <w:qFormat/>
    <w:uiPriority w:val="0"/>
    <w:pPr>
      <w:numPr>
        <w:ilvl w:val="6"/>
      </w:numPr>
      <w:tabs>
        <w:tab w:val="left" w:pos="360"/>
      </w:tabs>
      <w:outlineLvl w:val="6"/>
    </w:pPr>
  </w:style>
  <w:style w:type="paragraph" w:customStyle="1" w:styleId="110">
    <w:name w:val="附录四级条标题"/>
    <w:basedOn w:val="111"/>
    <w:next w:val="34"/>
    <w:qFormat/>
    <w:uiPriority w:val="0"/>
    <w:pPr>
      <w:numPr>
        <w:ilvl w:val="5"/>
      </w:numPr>
      <w:tabs>
        <w:tab w:val="left" w:pos="360"/>
      </w:tabs>
      <w:outlineLvl w:val="5"/>
    </w:pPr>
  </w:style>
  <w:style w:type="paragraph" w:customStyle="1" w:styleId="111">
    <w:name w:val="附录三级条标题"/>
    <w:basedOn w:val="112"/>
    <w:next w:val="34"/>
    <w:qFormat/>
    <w:uiPriority w:val="0"/>
    <w:pPr>
      <w:numPr>
        <w:ilvl w:val="4"/>
      </w:numPr>
      <w:tabs>
        <w:tab w:val="left" w:pos="360"/>
      </w:tabs>
      <w:outlineLvl w:val="4"/>
    </w:pPr>
  </w:style>
  <w:style w:type="paragraph" w:customStyle="1" w:styleId="112">
    <w:name w:val="附录二级条标题"/>
    <w:basedOn w:val="1"/>
    <w:next w:val="34"/>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3">
    <w:name w:val="终结线"/>
    <w:basedOn w:val="1"/>
    <w:qFormat/>
    <w:uiPriority w:val="0"/>
    <w:pPr>
      <w:framePr w:hSpace="181" w:vSpace="181" w:wrap="around" w:vAnchor="text" w:hAnchor="margin" w:xAlign="center" w:y="285"/>
    </w:pPr>
  </w:style>
  <w:style w:type="paragraph" w:customStyle="1" w:styleId="114">
    <w:name w:val="xl9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15">
    <w:name w:val="xl78"/>
    <w:basedOn w:val="1"/>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16">
    <w:name w:val="样式 样式 样式 样式 二级条标题 + 段前: 0.5 行 段后: 0.5 行 + 段前: 0.5 行 段后: 0.5 行 + ..."/>
    <w:basedOn w:val="117"/>
    <w:qFormat/>
    <w:uiPriority w:val="0"/>
    <w:pPr>
      <w:ind w:firstLine="0"/>
    </w:pPr>
  </w:style>
  <w:style w:type="paragraph" w:customStyle="1" w:styleId="117">
    <w:name w:val="样式 样式 样式 二级条标题 + 段前: 0.5 行 段后: 0.5 行 + 段前: 0.5 行 段后: 0.5 行 + 段前:..."/>
    <w:basedOn w:val="118"/>
    <w:qFormat/>
    <w:uiPriority w:val="0"/>
    <w:pPr>
      <w:ind w:firstLine="300" w:firstLineChars="300"/>
    </w:pPr>
  </w:style>
  <w:style w:type="paragraph" w:customStyle="1" w:styleId="118">
    <w:name w:val="样式 样式 二级条标题 + 段前: 0.5 行 段后: 0.5 行 + 段前: 0.5 行 段后: 0.5 行"/>
    <w:basedOn w:val="119"/>
    <w:qFormat/>
    <w:uiPriority w:val="0"/>
    <w:pPr>
      <w:ind w:firstLine="250" w:firstLineChars="250"/>
    </w:pPr>
  </w:style>
  <w:style w:type="paragraph" w:customStyle="1" w:styleId="119">
    <w:name w:val="样式 二级条标题 + 段前: 0.5 行 段后: 0.5 行"/>
    <w:basedOn w:val="97"/>
    <w:qFormat/>
    <w:uiPriority w:val="0"/>
    <w:pPr>
      <w:ind w:firstLine="200" w:firstLineChars="200"/>
    </w:pPr>
    <w:rPr>
      <w:rFonts w:cs="宋体"/>
      <w:szCs w:val="20"/>
    </w:rPr>
  </w:style>
  <w:style w:type="paragraph" w:customStyle="1" w:styleId="120">
    <w:name w:val="样式 样式 样式 三级条标题 + 段前: 0.5 行 段后: 0.5 行 + 段前: 0.5 行 段后: 0.5 行 + 段前:..."/>
    <w:basedOn w:val="100"/>
    <w:qFormat/>
    <w:uiPriority w:val="0"/>
    <w:pPr>
      <w:ind w:firstLine="250" w:firstLineChars="250"/>
    </w:pPr>
  </w:style>
  <w:style w:type="paragraph" w:customStyle="1" w:styleId="121">
    <w:name w:val="xl6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cs="宋体"/>
      <w:b/>
      <w:bCs/>
      <w:kern w:val="0"/>
      <w:sz w:val="24"/>
    </w:rPr>
  </w:style>
  <w:style w:type="paragraph" w:customStyle="1" w:styleId="123">
    <w:name w:val="列项●（二级）"/>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24">
    <w:name w:val="xl68"/>
    <w:basedOn w:val="1"/>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6">
    <w:name w:val="示例"/>
    <w:next w:val="127"/>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2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8">
    <w:name w:val="msonormal"/>
    <w:basedOn w:val="1"/>
    <w:qFormat/>
    <w:uiPriority w:val="0"/>
    <w:pPr>
      <w:widowControl/>
      <w:spacing w:before="100" w:beforeAutospacing="1" w:after="100" w:afterAutospacing="1"/>
      <w:jc w:val="left"/>
    </w:pPr>
    <w:rPr>
      <w:rFonts w:cs="宋体"/>
      <w:kern w:val="0"/>
      <w:sz w:val="24"/>
    </w:rPr>
  </w:style>
  <w:style w:type="paragraph" w:customStyle="1" w:styleId="129">
    <w:name w:val="xl107"/>
    <w:basedOn w:val="1"/>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30">
    <w:name w:val="xl88"/>
    <w:basedOn w:val="1"/>
    <w:qFormat/>
    <w:uiPriority w:val="0"/>
    <w:pPr>
      <w:widowControl/>
      <w:spacing w:before="100" w:beforeAutospacing="1" w:after="100" w:afterAutospacing="1"/>
      <w:jc w:val="left"/>
    </w:pPr>
    <w:rPr>
      <w:rFonts w:cs="宋体"/>
      <w:kern w:val="0"/>
      <w:sz w:val="24"/>
    </w:rPr>
  </w:style>
  <w:style w:type="paragraph" w:customStyle="1" w:styleId="131">
    <w:name w:val="xl63"/>
    <w:basedOn w:val="1"/>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32">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33">
    <w:name w:val="附录四级无"/>
    <w:basedOn w:val="110"/>
    <w:qFormat/>
    <w:uiPriority w:val="0"/>
    <w:pPr>
      <w:tabs>
        <w:tab w:val="clear" w:pos="360"/>
      </w:tabs>
      <w:spacing w:before="0" w:beforeLines="0" w:after="0" w:afterLines="0"/>
    </w:pPr>
    <w:rPr>
      <w:rFonts w:ascii="宋体" w:eastAsia="宋体"/>
      <w:szCs w:val="21"/>
    </w:rPr>
  </w:style>
  <w:style w:type="paragraph" w:customStyle="1" w:styleId="13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5">
    <w:name w:val="xl89"/>
    <w:basedOn w:val="1"/>
    <w:qFormat/>
    <w:uiPriority w:val="0"/>
    <w:pPr>
      <w:widowControl/>
      <w:pBdr>
        <w:right w:val="single" w:color="auto" w:sz="4" w:space="0"/>
      </w:pBdr>
      <w:spacing w:before="100" w:beforeAutospacing="1" w:after="100" w:afterAutospacing="1"/>
      <w:jc w:val="left"/>
    </w:pPr>
    <w:rPr>
      <w:rFonts w:cs="宋体"/>
      <w:color w:val="FF0000"/>
      <w:kern w:val="0"/>
      <w:sz w:val="24"/>
    </w:rPr>
  </w:style>
  <w:style w:type="paragraph" w:customStyle="1" w:styleId="136">
    <w:name w:val="封面正文"/>
    <w:qFormat/>
    <w:uiPriority w:val="0"/>
    <w:pPr>
      <w:jc w:val="both"/>
    </w:pPr>
    <w:rPr>
      <w:rFonts w:ascii="Times New Roman" w:hAnsi="Times New Roman" w:eastAsia="宋体" w:cs="Times New Roman"/>
      <w:lang w:val="en-US" w:eastAsia="zh-CN" w:bidi="ar-SA"/>
    </w:rPr>
  </w:style>
  <w:style w:type="paragraph" w:customStyle="1" w:styleId="137">
    <w:name w:val="发布部门"/>
    <w:next w:val="3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8">
    <w:name w:val="xl11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39">
    <w:name w:val="xl117"/>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40">
    <w:name w:val="封面标准文稿类别"/>
    <w:basedOn w:val="141"/>
    <w:qFormat/>
    <w:uiPriority w:val="0"/>
    <w:pPr>
      <w:framePr w:wrap="around"/>
      <w:spacing w:after="160" w:line="240" w:lineRule="auto"/>
    </w:pPr>
    <w:rPr>
      <w:sz w:val="24"/>
    </w:rPr>
  </w:style>
  <w:style w:type="paragraph" w:customStyle="1" w:styleId="141">
    <w:name w:val="封面一致性程度标识"/>
    <w:basedOn w:val="142"/>
    <w:qFormat/>
    <w:uiPriority w:val="0"/>
    <w:pPr>
      <w:framePr w:wrap="around"/>
      <w:spacing w:before="440"/>
    </w:pPr>
    <w:rPr>
      <w:rFonts w:ascii="宋体" w:eastAsia="宋体"/>
    </w:rPr>
  </w:style>
  <w:style w:type="paragraph" w:customStyle="1" w:styleId="142">
    <w:name w:val="封面标准英文名称"/>
    <w:basedOn w:val="143"/>
    <w:qFormat/>
    <w:uiPriority w:val="0"/>
    <w:pPr>
      <w:framePr w:wrap="around"/>
      <w:spacing w:before="370" w:line="400" w:lineRule="exact"/>
    </w:pPr>
    <w:rPr>
      <w:rFonts w:ascii="Times New Roman"/>
      <w:sz w:val="28"/>
      <w:szCs w:val="28"/>
    </w:rPr>
  </w:style>
  <w:style w:type="paragraph" w:customStyle="1" w:styleId="14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4">
    <w:name w:val="目次、标准名称标题"/>
    <w:basedOn w:val="145"/>
    <w:next w:val="34"/>
    <w:qFormat/>
    <w:uiPriority w:val="0"/>
    <w:pPr>
      <w:spacing w:line="460" w:lineRule="exact"/>
    </w:pPr>
  </w:style>
  <w:style w:type="paragraph" w:customStyle="1" w:styleId="145">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46">
    <w:name w:val="条文脚注"/>
    <w:basedOn w:val="35"/>
    <w:qFormat/>
    <w:uiPriority w:val="0"/>
    <w:pPr>
      <w:numPr>
        <w:numId w:val="0"/>
      </w:numPr>
      <w:jc w:val="both"/>
    </w:pPr>
  </w:style>
  <w:style w:type="paragraph" w:customStyle="1" w:styleId="147">
    <w:name w:val="四级条标题"/>
    <w:basedOn w:val="102"/>
    <w:next w:val="34"/>
    <w:qFormat/>
    <w:uiPriority w:val="0"/>
    <w:pPr>
      <w:ind w:left="0"/>
      <w:outlineLvl w:val="5"/>
    </w:pPr>
  </w:style>
  <w:style w:type="paragraph" w:customStyle="1" w:styleId="148">
    <w:name w:val="xl115"/>
    <w:basedOn w:val="1"/>
    <w:qFormat/>
    <w:uiPriority w:val="0"/>
    <w:pPr>
      <w:widowControl/>
      <w:pBdr>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149">
    <w:name w:val="三级"/>
    <w:basedOn w:val="150"/>
    <w:qFormat/>
    <w:uiPriority w:val="0"/>
    <w:pPr>
      <w:numPr>
        <w:ilvl w:val="0"/>
        <w:numId w:val="0"/>
      </w:numPr>
      <w:spacing w:before="50" w:beforeLines="50" w:after="50" w:afterLines="50"/>
    </w:pPr>
    <w:rPr>
      <w:rFonts w:eastAsia="黑体"/>
    </w:rPr>
  </w:style>
  <w:style w:type="paragraph" w:customStyle="1" w:styleId="150">
    <w:name w:val="二级无"/>
    <w:basedOn w:val="97"/>
    <w:qFormat/>
    <w:uiPriority w:val="0"/>
    <w:pPr>
      <w:spacing w:before="0" w:beforeLines="0" w:after="0" w:afterLines="0"/>
    </w:pPr>
    <w:rPr>
      <w:rFonts w:ascii="宋体" w:eastAsia="宋体"/>
    </w:rPr>
  </w:style>
  <w:style w:type="paragraph" w:customStyle="1" w:styleId="15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3">
    <w:name w:val="示例后文字"/>
    <w:basedOn w:val="34"/>
    <w:next w:val="34"/>
    <w:qFormat/>
    <w:uiPriority w:val="0"/>
    <w:pPr>
      <w:ind w:firstLine="360"/>
    </w:pPr>
    <w:rPr>
      <w:sz w:val="18"/>
    </w:rPr>
  </w:style>
  <w:style w:type="paragraph" w:customStyle="1" w:styleId="15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5">
    <w:name w:val="附录三级无"/>
    <w:basedOn w:val="111"/>
    <w:qFormat/>
    <w:uiPriority w:val="0"/>
    <w:pPr>
      <w:tabs>
        <w:tab w:val="clear" w:pos="360"/>
      </w:tabs>
      <w:spacing w:before="0" w:beforeLines="0" w:after="0" w:afterLines="0"/>
    </w:pPr>
    <w:rPr>
      <w:rFonts w:ascii="宋体" w:eastAsia="宋体"/>
      <w:szCs w:val="21"/>
    </w:rPr>
  </w:style>
  <w:style w:type="paragraph" w:customStyle="1" w:styleId="156">
    <w:name w:val="列项——（一级）"/>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57">
    <w:name w:val="样式 正文（首行缩进两字） Char + Times New Roman"/>
    <w:basedOn w:val="1"/>
    <w:qFormat/>
    <w:uiPriority w:val="0"/>
    <w:pPr>
      <w:topLinePunct/>
      <w:snapToGrid w:val="0"/>
    </w:pPr>
    <w:rPr>
      <w:rFonts w:cs="宋体"/>
      <w:szCs w:val="21"/>
    </w:rPr>
  </w:style>
  <w:style w:type="paragraph" w:customStyle="1" w:styleId="158">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59">
    <w:name w:val="注：（正文）"/>
    <w:basedOn w:val="81"/>
    <w:next w:val="34"/>
    <w:qFormat/>
    <w:uiPriority w:val="0"/>
    <w:pPr>
      <w:numPr>
        <w:ilvl w:val="0"/>
        <w:numId w:val="12"/>
      </w:numPr>
    </w:pPr>
  </w:style>
  <w:style w:type="paragraph" w:customStyle="1" w:styleId="160">
    <w:name w:val="xl102"/>
    <w:basedOn w:val="1"/>
    <w:qFormat/>
    <w:uiPriority w:val="0"/>
    <w:pPr>
      <w:widowControl/>
      <w:pBdr>
        <w:top w:val="single" w:color="auto" w:sz="4" w:space="0"/>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1">
    <w:name w:val="xl81"/>
    <w:basedOn w:val="1"/>
    <w:qFormat/>
    <w:uiPriority w:val="0"/>
    <w:pPr>
      <w:widowControl/>
      <w:pBdr>
        <w:right w:val="single" w:color="auto" w:sz="4" w:space="0"/>
      </w:pBdr>
      <w:spacing w:before="100" w:beforeAutospacing="1" w:after="100" w:afterAutospacing="1"/>
      <w:jc w:val="left"/>
    </w:pPr>
    <w:rPr>
      <w:rFonts w:cs="宋体"/>
      <w:b/>
      <w:bCs/>
      <w:kern w:val="0"/>
      <w:sz w:val="24"/>
    </w:rPr>
  </w:style>
  <w:style w:type="paragraph" w:customStyle="1" w:styleId="162">
    <w:name w:val="xl70"/>
    <w:basedOn w:val="1"/>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63">
    <w:name w:val="编号列项（三级）"/>
    <w:qFormat/>
    <w:uiPriority w:val="0"/>
    <w:rPr>
      <w:rFonts w:ascii="宋体" w:hAnsi="Times New Roman" w:eastAsia="宋体" w:cs="Times New Roman"/>
      <w:sz w:val="21"/>
      <w:lang w:val="en-US" w:eastAsia="zh-CN" w:bidi="ar-SA"/>
    </w:rPr>
  </w:style>
  <w:style w:type="paragraph" w:customStyle="1" w:styleId="164">
    <w:name w:val="Table Paragraph"/>
    <w:basedOn w:val="1"/>
    <w:qFormat/>
    <w:uiPriority w:val="1"/>
    <w:pPr>
      <w:autoSpaceDE w:val="0"/>
      <w:autoSpaceDN w:val="0"/>
      <w:jc w:val="left"/>
    </w:pPr>
    <w:rPr>
      <w:rFonts w:cs="宋体"/>
      <w:kern w:val="0"/>
      <w:sz w:val="22"/>
      <w:szCs w:val="22"/>
      <w:lang w:val="ca-ES" w:eastAsia="en-US"/>
    </w:rPr>
  </w:style>
  <w:style w:type="paragraph" w:customStyle="1" w:styleId="165">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66">
    <w:name w:val="xl106"/>
    <w:basedOn w:val="1"/>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67">
    <w:name w:val="xl86"/>
    <w:basedOn w:val="1"/>
    <w:qFormat/>
    <w:uiPriority w:val="0"/>
    <w:pPr>
      <w:widowControl/>
      <w:pBdr>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68">
    <w:name w:val="xl98"/>
    <w:basedOn w:val="1"/>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9">
    <w:name w:val="三级无"/>
    <w:basedOn w:val="102"/>
    <w:qFormat/>
    <w:uiPriority w:val="0"/>
    <w:pPr>
      <w:spacing w:before="0" w:beforeLines="0" w:after="0" w:afterLines="0"/>
    </w:pPr>
    <w:rPr>
      <w:rFonts w:ascii="宋体" w:eastAsia="宋体"/>
    </w:rPr>
  </w:style>
  <w:style w:type="paragraph" w:customStyle="1" w:styleId="170">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71">
    <w:name w:val="xl83"/>
    <w:basedOn w:val="1"/>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73">
    <w:name w:val="_Style 170"/>
    <w:basedOn w:val="2"/>
    <w:next w:val="1"/>
    <w:qFormat/>
    <w:uiPriority w:val="39"/>
    <w:pPr>
      <w:numPr>
        <w:numId w:val="0"/>
      </w:numPr>
      <w:adjustRightInd/>
      <w:spacing w:before="240" w:beforeLines="0" w:after="0" w:afterLines="0" w:line="259" w:lineRule="auto"/>
      <w:jc w:val="left"/>
      <w:outlineLvl w:val="9"/>
    </w:pPr>
    <w:rPr>
      <w:rFonts w:ascii="等线 Light" w:hAnsi="等线 Light" w:eastAsia="等线 Light"/>
      <w:b w:val="0"/>
      <w:bCs w:val="0"/>
      <w:color w:val="2F5496"/>
      <w:kern w:val="0"/>
      <w:szCs w:val="32"/>
      <w:lang w:eastAsia="zh-CN"/>
    </w:rPr>
  </w:style>
  <w:style w:type="paragraph" w:customStyle="1" w:styleId="174">
    <w:name w:val="xl91"/>
    <w:basedOn w:val="1"/>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75">
    <w:name w:val="xl93"/>
    <w:basedOn w:val="1"/>
    <w:qFormat/>
    <w:uiPriority w:val="0"/>
    <w:pPr>
      <w:widowControl/>
      <w:pBdr>
        <w:top w:val="single" w:color="auto" w:sz="4" w:space="0"/>
        <w:right w:val="single" w:color="auto" w:sz="4" w:space="0"/>
      </w:pBdr>
      <w:spacing w:before="100" w:beforeAutospacing="1" w:after="100" w:afterAutospacing="1"/>
      <w:jc w:val="left"/>
    </w:pPr>
    <w:rPr>
      <w:rFonts w:cs="宋体"/>
      <w:kern w:val="0"/>
      <w:sz w:val="24"/>
    </w:rPr>
  </w:style>
  <w:style w:type="paragraph" w:customStyle="1" w:styleId="176">
    <w:name w:val="封面标准文稿编辑信息"/>
    <w:basedOn w:val="140"/>
    <w:qFormat/>
    <w:uiPriority w:val="0"/>
    <w:pPr>
      <w:framePr w:wrap="around"/>
      <w:spacing w:before="180" w:line="180" w:lineRule="exact"/>
    </w:pPr>
    <w:rPr>
      <w:sz w:val="21"/>
    </w:rPr>
  </w:style>
  <w:style w:type="paragraph" w:customStyle="1" w:styleId="177">
    <w:name w:val="附录标识"/>
    <w:basedOn w:val="1"/>
    <w:next w:val="34"/>
    <w:qFormat/>
    <w:uiPriority w:val="0"/>
    <w:pPr>
      <w:keepNext/>
      <w:widowControl/>
      <w:numPr>
        <w:ilvl w:val="0"/>
        <w:numId w:val="9"/>
      </w:numPr>
      <w:shd w:val="clear" w:color="FFFFFF" w:fill="FFFFFF"/>
      <w:tabs>
        <w:tab w:val="left" w:pos="360"/>
        <w:tab w:val="left" w:pos="6405"/>
      </w:tabs>
      <w:spacing w:before="640" w:after="280"/>
      <w:outlineLvl w:val="0"/>
    </w:pPr>
    <w:rPr>
      <w:rFonts w:ascii="黑体" w:eastAsia="黑体"/>
      <w:kern w:val="0"/>
      <w:szCs w:val="20"/>
    </w:rPr>
  </w:style>
  <w:style w:type="paragraph" w:customStyle="1" w:styleId="178">
    <w:name w:val="五级条标题"/>
    <w:basedOn w:val="147"/>
    <w:next w:val="34"/>
    <w:qFormat/>
    <w:uiPriority w:val="0"/>
    <w:pPr>
      <w:numPr>
        <w:ilvl w:val="5"/>
        <w:numId w:val="3"/>
      </w:numPr>
      <w:outlineLvl w:val="6"/>
    </w:pPr>
  </w:style>
  <w:style w:type="paragraph" w:customStyle="1" w:styleId="1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8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83">
    <w:name w:val="xl85"/>
    <w:basedOn w:val="1"/>
    <w:qFormat/>
    <w:uiPriority w:val="0"/>
    <w:pPr>
      <w:widowControl/>
      <w:pBdr>
        <w:right w:val="single" w:color="auto" w:sz="4" w:space="0"/>
      </w:pBdr>
      <w:spacing w:before="100" w:beforeAutospacing="1" w:after="100" w:afterAutospacing="1"/>
      <w:ind w:firstLine="200" w:firstLineChars="200"/>
      <w:jc w:val="left"/>
    </w:pPr>
    <w:rPr>
      <w:rFonts w:cs="宋体"/>
      <w:color w:val="FF0000"/>
      <w:kern w:val="0"/>
      <w:sz w:val="24"/>
    </w:rPr>
  </w:style>
  <w:style w:type="paragraph" w:customStyle="1" w:styleId="184">
    <w:name w:val="附录表标号"/>
    <w:basedOn w:val="1"/>
    <w:next w:val="34"/>
    <w:qFormat/>
    <w:uiPriority w:val="0"/>
    <w:pPr>
      <w:numPr>
        <w:ilvl w:val="0"/>
        <w:numId w:val="14"/>
      </w:numPr>
      <w:tabs>
        <w:tab w:val="clear" w:pos="0"/>
      </w:tabs>
      <w:spacing w:line="14" w:lineRule="exact"/>
      <w:ind w:left="811" w:hanging="448"/>
      <w:outlineLvl w:val="0"/>
    </w:pPr>
    <w:rPr>
      <w:color w:val="FFFFFF"/>
    </w:rPr>
  </w:style>
  <w:style w:type="paragraph" w:customStyle="1" w:styleId="185">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86">
    <w:name w:val="xl104"/>
    <w:basedOn w:val="1"/>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88">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xl79"/>
    <w:basedOn w:val="1"/>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90">
    <w:name w:val="列项◆（三级）"/>
    <w:basedOn w:val="1"/>
    <w:qFormat/>
    <w:uiPriority w:val="0"/>
    <w:pPr>
      <w:numPr>
        <w:ilvl w:val="2"/>
        <w:numId w:val="10"/>
      </w:numPr>
    </w:pPr>
    <w:rPr>
      <w:szCs w:val="21"/>
    </w:rPr>
  </w:style>
  <w:style w:type="paragraph" w:customStyle="1" w:styleId="191">
    <w:name w:val="示例×："/>
    <w:basedOn w:val="76"/>
    <w:qFormat/>
    <w:uiPriority w:val="0"/>
    <w:pPr>
      <w:numPr>
        <w:numId w:val="16"/>
      </w:numPr>
      <w:spacing w:before="0" w:beforeLines="0" w:after="0" w:afterLines="0"/>
      <w:outlineLvl w:val="9"/>
    </w:pPr>
    <w:rPr>
      <w:rFonts w:ascii="宋体" w:eastAsia="宋体"/>
      <w:sz w:val="18"/>
      <w:szCs w:val="18"/>
    </w:rPr>
  </w:style>
  <w:style w:type="paragraph" w:customStyle="1" w:styleId="192">
    <w:name w:val="xl116"/>
    <w:basedOn w:val="1"/>
    <w:qFormat/>
    <w:uiPriority w:val="0"/>
    <w:pPr>
      <w:widowControl/>
      <w:pBdr>
        <w:top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93">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194">
    <w:name w:val="附录图标题"/>
    <w:basedOn w:val="1"/>
    <w:next w:val="34"/>
    <w:qFormat/>
    <w:uiPriority w:val="0"/>
    <w:pPr>
      <w:numPr>
        <w:ilvl w:val="1"/>
        <w:numId w:val="17"/>
      </w:numPr>
      <w:tabs>
        <w:tab w:val="left" w:pos="363"/>
      </w:tabs>
      <w:spacing w:before="50" w:beforeLines="50" w:after="50" w:afterLines="50"/>
      <w:ind w:left="0" w:firstLine="0"/>
    </w:pPr>
    <w:rPr>
      <w:rFonts w:ascii="黑体" w:eastAsia="黑体"/>
      <w:szCs w:val="21"/>
    </w:rPr>
  </w:style>
  <w:style w:type="paragraph" w:customStyle="1" w:styleId="195">
    <w:name w:val="font7"/>
    <w:basedOn w:val="1"/>
    <w:qFormat/>
    <w:uiPriority w:val="0"/>
    <w:pPr>
      <w:widowControl/>
      <w:spacing w:before="100" w:beforeAutospacing="1" w:after="100" w:afterAutospacing="1"/>
      <w:jc w:val="left"/>
    </w:pPr>
    <w:rPr>
      <w:rFonts w:cs="宋体"/>
      <w:color w:val="000000"/>
      <w:kern w:val="0"/>
      <w:sz w:val="22"/>
      <w:szCs w:val="22"/>
    </w:rPr>
  </w:style>
  <w:style w:type="paragraph" w:customStyle="1" w:styleId="196">
    <w:name w:val="xl84"/>
    <w:basedOn w:val="1"/>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197">
    <w:name w:val="附录图标号"/>
    <w:basedOn w:val="1"/>
    <w:qFormat/>
    <w:uiPriority w:val="0"/>
    <w:pPr>
      <w:keepNext/>
      <w:pageBreakBefore/>
      <w:widowControl/>
      <w:numPr>
        <w:ilvl w:val="0"/>
        <w:numId w:val="17"/>
      </w:numPr>
      <w:spacing w:line="14" w:lineRule="exact"/>
      <w:ind w:left="0" w:firstLine="363"/>
      <w:outlineLvl w:val="0"/>
    </w:pPr>
    <w:rPr>
      <w:color w:val="FFFFFF"/>
    </w:rPr>
  </w:style>
  <w:style w:type="paragraph" w:customStyle="1" w:styleId="19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99">
    <w:name w:val="xl114"/>
    <w:basedOn w:val="1"/>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200">
    <w:name w:val="xl94"/>
    <w:basedOn w:val="1"/>
    <w:qFormat/>
    <w:uiPriority w:val="0"/>
    <w:pPr>
      <w:widowControl/>
      <w:pBdr>
        <w:top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1">
    <w:name w:val="标准书眉_偶数页"/>
    <w:basedOn w:val="181"/>
    <w:next w:val="1"/>
    <w:qFormat/>
    <w:uiPriority w:val="0"/>
    <w:pPr>
      <w:jc w:val="left"/>
    </w:pPr>
  </w:style>
  <w:style w:type="paragraph" w:customStyle="1" w:styleId="202">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3">
    <w:name w:val="标准书眉一"/>
    <w:qFormat/>
    <w:uiPriority w:val="0"/>
    <w:pPr>
      <w:jc w:val="both"/>
    </w:pPr>
    <w:rPr>
      <w:rFonts w:ascii="Times New Roman" w:hAnsi="Times New Roman" w:eastAsia="宋体" w:cs="Times New Roman"/>
      <w:lang w:val="en-US" w:eastAsia="zh-CN" w:bidi="ar-SA"/>
    </w:rPr>
  </w:style>
  <w:style w:type="paragraph" w:customStyle="1" w:styleId="204">
    <w:name w:val="xl110"/>
    <w:basedOn w:val="1"/>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05">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06">
    <w:name w:val="xl6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7">
    <w:name w:val="附录标题"/>
    <w:basedOn w:val="34"/>
    <w:next w:val="34"/>
    <w:qFormat/>
    <w:uiPriority w:val="0"/>
    <w:pPr>
      <w:ind w:firstLine="0" w:firstLineChars="0"/>
      <w:jc w:val="center"/>
    </w:pPr>
    <w:rPr>
      <w:rFonts w:ascii="黑体" w:eastAsia="黑体"/>
    </w:rPr>
  </w:style>
  <w:style w:type="paragraph" w:customStyle="1" w:styleId="208">
    <w:name w:val="参考文献"/>
    <w:basedOn w:val="1"/>
    <w:next w:val="34"/>
    <w:qFormat/>
    <w:uiPriority w:val="0"/>
    <w:pPr>
      <w:keepNext/>
      <w:pageBreakBefore/>
      <w:widowControl/>
      <w:shd w:val="clear" w:color="FFFFFF" w:fill="FFFFFF"/>
      <w:spacing w:before="640" w:after="200"/>
      <w:outlineLvl w:val="0"/>
    </w:pPr>
    <w:rPr>
      <w:rFonts w:ascii="黑体" w:eastAsia="黑体"/>
      <w:kern w:val="0"/>
      <w:szCs w:val="20"/>
    </w:rPr>
  </w:style>
  <w:style w:type="paragraph" w:customStyle="1" w:styleId="209">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0">
    <w:name w:val="xl9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1">
    <w:name w:val="参考文献、索引标题"/>
    <w:basedOn w:val="1"/>
    <w:next w:val="34"/>
    <w:qFormat/>
    <w:uiPriority w:val="0"/>
    <w:pPr>
      <w:keepNext/>
      <w:pageBreakBefore/>
      <w:widowControl/>
      <w:shd w:val="clear" w:color="FFFFFF" w:fill="FFFFFF"/>
      <w:spacing w:before="640" w:after="200"/>
      <w:outlineLvl w:val="0"/>
    </w:pPr>
    <w:rPr>
      <w:rFonts w:ascii="黑体" w:eastAsia="黑体"/>
      <w:kern w:val="0"/>
      <w:szCs w:val="20"/>
    </w:rPr>
  </w:style>
  <w:style w:type="paragraph" w:styleId="212">
    <w:name w:val="List Paragraph"/>
    <w:basedOn w:val="1"/>
    <w:qFormat/>
    <w:uiPriority w:val="34"/>
    <w:pPr>
      <w:numPr>
        <w:ilvl w:val="0"/>
        <w:numId w:val="18"/>
      </w:numPr>
      <w:autoSpaceDE w:val="0"/>
      <w:autoSpaceDN w:val="0"/>
      <w:snapToGrid w:val="0"/>
      <w:jc w:val="left"/>
    </w:pPr>
    <w:rPr>
      <w:rFonts w:cs="宋体"/>
      <w:kern w:val="0"/>
      <w:sz w:val="22"/>
      <w:szCs w:val="22"/>
      <w:lang w:val="ca-ES" w:eastAsia="en-US"/>
    </w:rPr>
  </w:style>
  <w:style w:type="paragraph" w:customStyle="1" w:styleId="213">
    <w:name w:val="附录二级无"/>
    <w:basedOn w:val="112"/>
    <w:qFormat/>
    <w:uiPriority w:val="0"/>
    <w:pPr>
      <w:tabs>
        <w:tab w:val="clear" w:pos="360"/>
      </w:tabs>
      <w:spacing w:before="0" w:beforeLines="0" w:after="0" w:afterLines="0"/>
    </w:pPr>
    <w:rPr>
      <w:rFonts w:ascii="宋体" w:eastAsia="宋体"/>
      <w:szCs w:val="21"/>
    </w:rPr>
  </w:style>
  <w:style w:type="paragraph" w:customStyle="1" w:styleId="21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5">
    <w:name w:val="xl6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6">
    <w:name w:val="附录表标题"/>
    <w:basedOn w:val="1"/>
    <w:next w:val="34"/>
    <w:qFormat/>
    <w:uiPriority w:val="0"/>
    <w:pPr>
      <w:numPr>
        <w:ilvl w:val="1"/>
        <w:numId w:val="14"/>
      </w:numPr>
      <w:tabs>
        <w:tab w:val="left" w:pos="180"/>
      </w:tabs>
      <w:spacing w:before="50" w:beforeLines="50" w:after="50" w:afterLines="50"/>
      <w:ind w:left="0" w:firstLine="0"/>
    </w:pPr>
    <w:rPr>
      <w:rFonts w:ascii="黑体" w:eastAsia="黑体"/>
      <w:szCs w:val="21"/>
    </w:rPr>
  </w:style>
  <w:style w:type="paragraph" w:customStyle="1" w:styleId="2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8">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9">
    <w:name w:val="xl65"/>
    <w:basedOn w:val="1"/>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20">
    <w:name w:val="附录公式编号制表符"/>
    <w:basedOn w:val="1"/>
    <w:next w:val="34"/>
    <w:qFormat/>
    <w:uiPriority w:val="0"/>
    <w:pPr>
      <w:widowControl/>
      <w:tabs>
        <w:tab w:val="center" w:pos="4201"/>
        <w:tab w:val="right" w:leader="dot" w:pos="9298"/>
      </w:tabs>
      <w:autoSpaceDE w:val="0"/>
      <w:autoSpaceDN w:val="0"/>
    </w:pPr>
    <w:rPr>
      <w:kern w:val="0"/>
      <w:szCs w:val="20"/>
    </w:rPr>
  </w:style>
  <w:style w:type="paragraph" w:customStyle="1" w:styleId="221">
    <w:name w:val="xl121"/>
    <w:basedOn w:val="1"/>
    <w:qFormat/>
    <w:uiPriority w:val="0"/>
    <w:pPr>
      <w:widowControl/>
      <w:spacing w:before="100" w:beforeAutospacing="1" w:after="100" w:afterAutospacing="1"/>
      <w:ind w:firstLine="200" w:firstLineChars="200"/>
      <w:jc w:val="left"/>
    </w:pPr>
    <w:rPr>
      <w:rFonts w:cs="宋体"/>
      <w:kern w:val="0"/>
      <w:sz w:val="24"/>
    </w:rPr>
  </w:style>
  <w:style w:type="paragraph" w:customStyle="1" w:styleId="222">
    <w:name w:val="xl100"/>
    <w:basedOn w:val="1"/>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223">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224">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5">
    <w:name w:val="xl95"/>
    <w:basedOn w:val="1"/>
    <w:qFormat/>
    <w:uiPriority w:val="0"/>
    <w:pPr>
      <w:widowControl/>
      <w:pBdr>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26">
    <w:name w:val="xl7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7">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28">
    <w:name w:val="附录章标题"/>
    <w:next w:val="34"/>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29">
    <w:name w:val="附录一级条标题"/>
    <w:basedOn w:val="228"/>
    <w:next w:val="34"/>
    <w:qFormat/>
    <w:uiPriority w:val="0"/>
    <w:pPr>
      <w:numPr>
        <w:ilvl w:val="2"/>
      </w:numPr>
      <w:autoSpaceDN w:val="0"/>
      <w:spacing w:before="50" w:beforeLines="50" w:after="50" w:afterLines="50"/>
      <w:outlineLvl w:val="2"/>
    </w:pPr>
  </w:style>
  <w:style w:type="paragraph" w:customStyle="1" w:styleId="230">
    <w:name w:val="附录一级无"/>
    <w:basedOn w:val="229"/>
    <w:qFormat/>
    <w:uiPriority w:val="0"/>
    <w:pPr>
      <w:tabs>
        <w:tab w:val="clear" w:pos="360"/>
      </w:tabs>
      <w:spacing w:before="0" w:beforeLines="0" w:after="0" w:afterLines="0"/>
    </w:pPr>
    <w:rPr>
      <w:rFonts w:ascii="宋体" w:eastAsia="宋体"/>
      <w:szCs w:val="21"/>
    </w:rPr>
  </w:style>
  <w:style w:type="paragraph" w:customStyle="1" w:styleId="231">
    <w:name w:val="列项说明"/>
    <w:basedOn w:val="1"/>
    <w:qFormat/>
    <w:uiPriority w:val="0"/>
    <w:pPr>
      <w:adjustRightInd w:val="0"/>
      <w:spacing w:line="320" w:lineRule="exact"/>
      <w:ind w:left="400" w:leftChars="200" w:hanging="200" w:hangingChars="200"/>
      <w:jc w:val="left"/>
      <w:textAlignment w:val="baseline"/>
    </w:pPr>
    <w:rPr>
      <w:kern w:val="0"/>
      <w:szCs w:val="20"/>
    </w:rPr>
  </w:style>
  <w:style w:type="paragraph" w:customStyle="1" w:styleId="232">
    <w:name w:val="_TB01"/>
    <w:basedOn w:val="1"/>
    <w:qFormat/>
    <w:uiPriority w:val="0"/>
    <w:pPr>
      <w:jc w:val="left"/>
    </w:pPr>
    <w:rPr>
      <w:b/>
      <w:i/>
    </w:rPr>
  </w:style>
  <w:style w:type="paragraph" w:customStyle="1" w:styleId="233">
    <w:name w:val="其他标准标志"/>
    <w:basedOn w:val="151"/>
    <w:qFormat/>
    <w:uiPriority w:val="0"/>
    <w:pPr>
      <w:framePr w:w="6101" w:wrap="around" w:vAnchor="page" w:hAnchor="page" w:x="4673" w:y="942"/>
    </w:pPr>
    <w:rPr>
      <w:w w:val="130"/>
    </w:rPr>
  </w:style>
  <w:style w:type="paragraph" w:customStyle="1" w:styleId="234">
    <w:name w:val="其他发布部门"/>
    <w:basedOn w:val="137"/>
    <w:qFormat/>
    <w:uiPriority w:val="0"/>
    <w:pPr>
      <w:framePr w:wrap="around" w:y="15310"/>
      <w:spacing w:line="0" w:lineRule="atLeast"/>
    </w:pPr>
    <w:rPr>
      <w:rFonts w:ascii="黑体" w:eastAsia="黑体"/>
      <w:b w:val="0"/>
    </w:rPr>
  </w:style>
  <w:style w:type="paragraph" w:customStyle="1" w:styleId="235">
    <w:name w:val="实施日期"/>
    <w:basedOn w:val="179"/>
    <w:qFormat/>
    <w:uiPriority w:val="0"/>
    <w:pPr>
      <w:framePr w:wrap="around" w:vAnchor="page" w:hAnchor="text"/>
      <w:jc w:val="right"/>
    </w:pPr>
  </w:style>
  <w:style w:type="paragraph" w:customStyle="1" w:styleId="236">
    <w:name w:val="四级无"/>
    <w:basedOn w:val="147"/>
    <w:qFormat/>
    <w:uiPriority w:val="0"/>
    <w:pPr>
      <w:spacing w:before="0" w:beforeLines="0" w:after="0" w:afterLines="0"/>
    </w:pPr>
    <w:rPr>
      <w:rFonts w:ascii="宋体" w:eastAsia="宋体"/>
    </w:rPr>
  </w:style>
  <w:style w:type="paragraph" w:customStyle="1" w:styleId="237">
    <w:name w:val="xl87"/>
    <w:basedOn w:val="1"/>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238">
    <w:name w:val="图标脚注说明"/>
    <w:basedOn w:val="34"/>
    <w:qFormat/>
    <w:uiPriority w:val="0"/>
    <w:pPr>
      <w:ind w:left="840" w:hanging="420" w:firstLineChars="0"/>
    </w:pPr>
    <w:rPr>
      <w:sz w:val="18"/>
      <w:szCs w:val="18"/>
    </w:rPr>
  </w:style>
  <w:style w:type="paragraph" w:customStyle="1" w:styleId="239">
    <w:name w:val="图表脚注说明"/>
    <w:basedOn w:val="1"/>
    <w:qFormat/>
    <w:uiPriority w:val="0"/>
    <w:pPr>
      <w:numPr>
        <w:ilvl w:val="0"/>
        <w:numId w:val="19"/>
      </w:numPr>
    </w:pPr>
    <w:rPr>
      <w:sz w:val="18"/>
      <w:szCs w:val="18"/>
    </w:rPr>
  </w:style>
  <w:style w:type="paragraph" w:customStyle="1" w:styleId="240">
    <w:name w:val="图的脚注"/>
    <w:next w:val="3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4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42">
    <w:name w:val="五级无"/>
    <w:basedOn w:val="178"/>
    <w:qFormat/>
    <w:uiPriority w:val="0"/>
    <w:pPr>
      <w:spacing w:before="0" w:beforeLines="0" w:after="0" w:afterLines="0"/>
    </w:pPr>
    <w:rPr>
      <w:rFonts w:ascii="宋体" w:eastAsia="宋体"/>
    </w:rPr>
  </w:style>
  <w:style w:type="paragraph" w:customStyle="1" w:styleId="243">
    <w:name w:val="一级无"/>
    <w:basedOn w:val="98"/>
    <w:qFormat/>
    <w:uiPriority w:val="0"/>
    <w:pPr>
      <w:spacing w:before="0" w:beforeLines="0" w:after="0" w:afterLines="0"/>
    </w:pPr>
    <w:rPr>
      <w:rFonts w:ascii="宋体" w:eastAsia="宋体"/>
    </w:rPr>
  </w:style>
  <w:style w:type="paragraph" w:customStyle="1" w:styleId="244">
    <w:name w:val="正文表标题"/>
    <w:next w:val="34"/>
    <w:qFormat/>
    <w:uiPriority w:val="0"/>
    <w:pPr>
      <w:numPr>
        <w:ilvl w:val="0"/>
        <w:numId w:val="20"/>
      </w:numPr>
      <w:spacing w:before="156" w:beforeLines="50" w:after="156" w:afterLines="50"/>
      <w:jc w:val="center"/>
    </w:pPr>
    <w:rPr>
      <w:rFonts w:ascii="黑体" w:hAnsi="Times New Roman" w:eastAsia="黑体" w:cs="Times New Roman"/>
      <w:sz w:val="21"/>
      <w:lang w:val="en-US" w:eastAsia="zh-CN" w:bidi="ar-SA"/>
    </w:rPr>
  </w:style>
  <w:style w:type="paragraph" w:customStyle="1" w:styleId="245">
    <w:name w:val="正文公式编号制表符"/>
    <w:basedOn w:val="34"/>
    <w:next w:val="34"/>
    <w:qFormat/>
    <w:uiPriority w:val="0"/>
    <w:pPr>
      <w:ind w:firstLine="0" w:firstLineChars="0"/>
    </w:pPr>
  </w:style>
  <w:style w:type="paragraph" w:customStyle="1" w:styleId="246">
    <w:name w:val="正文图标题"/>
    <w:next w:val="34"/>
    <w:qFormat/>
    <w:uiPriority w:val="0"/>
    <w:pPr>
      <w:numPr>
        <w:ilvl w:val="0"/>
        <w:numId w:val="21"/>
      </w:numPr>
      <w:spacing w:before="156" w:beforeLines="50" w:after="156" w:afterLines="50"/>
      <w:jc w:val="center"/>
    </w:pPr>
    <w:rPr>
      <w:rFonts w:ascii="黑体" w:hAnsi="Times New Roman" w:eastAsia="黑体" w:cs="Times New Roman"/>
      <w:sz w:val="21"/>
      <w:lang w:val="en-US" w:eastAsia="zh-CN" w:bidi="ar-SA"/>
    </w:rPr>
  </w:style>
  <w:style w:type="paragraph" w:customStyle="1" w:styleId="247">
    <w:name w:val="xl101"/>
    <w:basedOn w:val="1"/>
    <w:qFormat/>
    <w:uiPriority w:val="0"/>
    <w:pPr>
      <w:widowControl/>
      <w:pBdr>
        <w:right w:val="single" w:color="auto" w:sz="4" w:space="0"/>
      </w:pBdr>
      <w:spacing w:before="100" w:beforeAutospacing="1" w:after="100" w:afterAutospacing="1"/>
      <w:ind w:firstLine="300" w:firstLineChars="300"/>
      <w:jc w:val="left"/>
    </w:pPr>
    <w:rPr>
      <w:rFonts w:cs="宋体"/>
      <w:color w:val="FF0000"/>
      <w:kern w:val="0"/>
      <w:sz w:val="24"/>
    </w:rPr>
  </w:style>
  <w:style w:type="paragraph" w:customStyle="1" w:styleId="248">
    <w:name w:val="其他发布日期"/>
    <w:basedOn w:val="179"/>
    <w:qFormat/>
    <w:uiPriority w:val="0"/>
    <w:pPr>
      <w:framePr w:wrap="around" w:vAnchor="page" w:hAnchor="text" w:x="1419"/>
    </w:pPr>
  </w:style>
  <w:style w:type="paragraph" w:customStyle="1" w:styleId="249">
    <w:name w:val="其他实施日期"/>
    <w:basedOn w:val="235"/>
    <w:qFormat/>
    <w:uiPriority w:val="0"/>
    <w:pPr>
      <w:framePr w:wrap="around"/>
    </w:pPr>
  </w:style>
  <w:style w:type="paragraph" w:customStyle="1" w:styleId="250">
    <w:name w:val="封面标准名称2"/>
    <w:basedOn w:val="143"/>
    <w:qFormat/>
    <w:uiPriority w:val="0"/>
    <w:pPr>
      <w:framePr w:wrap="around" w:y="4469"/>
      <w:spacing w:before="630" w:beforeLines="630"/>
    </w:pPr>
  </w:style>
  <w:style w:type="paragraph" w:customStyle="1" w:styleId="251">
    <w:name w:val="封面标准英文名称2"/>
    <w:basedOn w:val="142"/>
    <w:qFormat/>
    <w:uiPriority w:val="0"/>
    <w:pPr>
      <w:framePr w:wrap="around" w:y="4469"/>
    </w:pPr>
  </w:style>
  <w:style w:type="paragraph" w:customStyle="1" w:styleId="252">
    <w:name w:val="封面一致性程度标识2"/>
    <w:basedOn w:val="141"/>
    <w:qFormat/>
    <w:uiPriority w:val="0"/>
    <w:pPr>
      <w:framePr w:wrap="around" w:y="4469"/>
    </w:pPr>
  </w:style>
  <w:style w:type="paragraph" w:customStyle="1" w:styleId="253">
    <w:name w:val="封面标准文稿类别2"/>
    <w:basedOn w:val="140"/>
    <w:qFormat/>
    <w:uiPriority w:val="0"/>
    <w:pPr>
      <w:framePr w:wrap="around" w:y="4469"/>
    </w:pPr>
  </w:style>
  <w:style w:type="paragraph" w:customStyle="1" w:styleId="254">
    <w:name w:val="封面标准文稿编辑信息2"/>
    <w:basedOn w:val="176"/>
    <w:qFormat/>
    <w:uiPriority w:val="0"/>
    <w:pPr>
      <w:framePr w:wrap="around" w:y="4469"/>
    </w:pPr>
  </w:style>
  <w:style w:type="paragraph" w:customStyle="1" w:styleId="255">
    <w:name w:val="彩色底纹 - 着色 31"/>
    <w:basedOn w:val="1"/>
    <w:qFormat/>
    <w:uiPriority w:val="0"/>
    <w:pPr>
      <w:ind w:firstLine="420" w:firstLineChars="200"/>
    </w:pPr>
    <w:rPr>
      <w:rFonts w:ascii="Calibri" w:hAnsi="Calibri" w:cs="Calibri"/>
      <w:szCs w:val="21"/>
    </w:rPr>
  </w:style>
  <w:style w:type="paragraph" w:customStyle="1" w:styleId="256">
    <w:name w:val="p16"/>
    <w:basedOn w:val="1"/>
    <w:qFormat/>
    <w:uiPriority w:val="0"/>
    <w:pPr>
      <w:widowControl/>
      <w:ind w:firstLine="420"/>
    </w:pPr>
    <w:rPr>
      <w:rFonts w:cs="宋体"/>
      <w:kern w:val="0"/>
      <w:szCs w:val="21"/>
    </w:rPr>
  </w:style>
  <w:style w:type="paragraph" w:customStyle="1" w:styleId="257">
    <w:name w:val="xl72"/>
    <w:basedOn w:val="1"/>
    <w:qFormat/>
    <w:uiPriority w:val="0"/>
    <w:pPr>
      <w:widowControl/>
      <w:spacing w:before="100" w:beforeAutospacing="1" w:after="100" w:afterAutospacing="1"/>
      <w:jc w:val="left"/>
    </w:pPr>
    <w:rPr>
      <w:rFonts w:cs="宋体"/>
      <w:kern w:val="0"/>
      <w:sz w:val="24"/>
    </w:rPr>
  </w:style>
  <w:style w:type="paragraph" w:customStyle="1" w:styleId="258">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59">
    <w:name w:val="xl103"/>
    <w:basedOn w:val="1"/>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260">
    <w:name w:val="xl82"/>
    <w:basedOn w:val="1"/>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261">
    <w:name w:val="xl111"/>
    <w:basedOn w:val="1"/>
    <w:qFormat/>
    <w:uiPriority w:val="0"/>
    <w:pPr>
      <w:widowControl/>
      <w:pBdr>
        <w:left w:val="single" w:color="auto" w:sz="4" w:space="31"/>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262">
    <w:name w:val="xl97"/>
    <w:basedOn w:val="1"/>
    <w:qFormat/>
    <w:uiPriority w:val="0"/>
    <w:pPr>
      <w:widowControl/>
      <w:pBdr>
        <w:left w:val="single" w:color="auto" w:sz="4" w:space="14"/>
        <w:right w:val="single" w:color="auto" w:sz="4" w:space="0"/>
      </w:pBdr>
      <w:spacing w:before="100" w:beforeAutospacing="1" w:after="100" w:afterAutospacing="1"/>
      <w:ind w:firstLine="100" w:firstLineChars="100"/>
      <w:jc w:val="left"/>
    </w:pPr>
    <w:rPr>
      <w:rFonts w:cs="宋体"/>
      <w:kern w:val="0"/>
      <w:sz w:val="24"/>
    </w:rPr>
  </w:style>
  <w:style w:type="paragraph" w:customStyle="1" w:styleId="263">
    <w:name w:val="xl99"/>
    <w:basedOn w:val="1"/>
    <w:qFormat/>
    <w:uiPriority w:val="0"/>
    <w:pPr>
      <w:widowControl/>
      <w:pBdr>
        <w:left w:val="single" w:color="auto" w:sz="4" w:space="27"/>
      </w:pBdr>
      <w:spacing w:before="100" w:beforeAutospacing="1" w:after="100" w:afterAutospacing="1"/>
      <w:ind w:firstLine="200" w:firstLineChars="200"/>
      <w:jc w:val="left"/>
    </w:pPr>
    <w:rPr>
      <w:rFonts w:cs="宋体"/>
      <w:kern w:val="0"/>
      <w:sz w:val="24"/>
    </w:rPr>
  </w:style>
  <w:style w:type="paragraph" w:customStyle="1" w:styleId="264">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table" w:customStyle="1" w:styleId="265">
    <w:name w:val="Table Normal"/>
    <w:unhideWhenUsed/>
    <w:qFormat/>
    <w:uiPriority w:val="0"/>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66">
    <w:name w:val="页眉 Char1"/>
    <w:qFormat/>
    <w:uiPriority w:val="99"/>
    <w:rPr>
      <w:sz w:val="18"/>
      <w:szCs w:val="18"/>
    </w:rPr>
  </w:style>
  <w:style w:type="character" w:customStyle="1" w:styleId="267">
    <w:name w:val="页脚 Char1"/>
    <w:qFormat/>
    <w:uiPriority w:val="99"/>
    <w:rPr>
      <w:sz w:val="18"/>
      <w:szCs w:val="18"/>
    </w:rPr>
  </w:style>
  <w:style w:type="paragraph" w:customStyle="1" w:styleId="268">
    <w:name w:val="_标准条文"/>
    <w:basedOn w:val="1"/>
    <w:qFormat/>
    <w:uiPriority w:val="0"/>
    <w:pPr>
      <w:overflowPunct w:val="0"/>
      <w:snapToGrid w:val="0"/>
      <w:spacing w:beforeLines="25" w:afterLines="25" w:line="276" w:lineRule="auto"/>
      <w:ind w:firstLine="200" w:firstLineChars="200"/>
    </w:pPr>
    <w:rPr>
      <w:rFonts w:ascii="Arial" w:hAnsi="Arial" w:cs="宋体"/>
      <w:szCs w:val="20"/>
    </w:rPr>
  </w:style>
  <w:style w:type="paragraph" w:customStyle="1" w:styleId="269">
    <w:name w:val="样式1正文（首行缩进两字） Char"/>
    <w:basedOn w:val="1"/>
    <w:next w:val="1"/>
    <w:qFormat/>
    <w:uiPriority w:val="0"/>
    <w:pPr>
      <w:spacing w:line="276" w:lineRule="auto"/>
      <w:ind w:firstLine="420" w:firstLineChars="200"/>
    </w:pPr>
    <w:rPr>
      <w:rFonts w:cs="宋体"/>
      <w:szCs w:val="21"/>
    </w:rPr>
  </w:style>
  <w:style w:type="paragraph" w:customStyle="1" w:styleId="270">
    <w:name w:val="样式 样式1 样式 编号 a + Times New Roman 段前: 0 行 行距: 多倍行距 1.15 字行 + 左..."/>
    <w:basedOn w:val="1"/>
    <w:qFormat/>
    <w:uiPriority w:val="0"/>
    <w:pPr>
      <w:spacing w:line="276" w:lineRule="auto"/>
      <w:ind w:left="840" w:leftChars="200" w:hanging="420" w:hangingChars="200"/>
    </w:pPr>
    <w:rPr>
      <w:rFonts w:cs="宋体"/>
      <w:szCs w:val="20"/>
    </w:rPr>
  </w:style>
  <w:style w:type="paragraph" w:customStyle="1" w:styleId="271">
    <w:name w:val="样式 样式1 样式 编号 a + Times New Roman 段前: 0 行 行距: 多倍行距 1.15 字行 + 左侧....."/>
    <w:basedOn w:val="1"/>
    <w:semiHidden/>
    <w:qFormat/>
    <w:uiPriority w:val="0"/>
    <w:pPr>
      <w:snapToGrid w:val="0"/>
      <w:ind w:left="840" w:leftChars="200" w:hanging="420" w:hangingChars="200"/>
    </w:pPr>
    <w:rPr>
      <w:rFonts w:cs="宋体"/>
      <w:spacing w:val="-6"/>
      <w:kern w:val="21"/>
      <w:szCs w:val="20"/>
    </w:rPr>
  </w:style>
  <w:style w:type="paragraph" w:customStyle="1" w:styleId="272">
    <w:name w:val="样式2 样式 a) + 段前: 0行"/>
    <w:basedOn w:val="1"/>
    <w:semiHidden/>
    <w:qFormat/>
    <w:uiPriority w:val="0"/>
    <w:pPr>
      <w:tabs>
        <w:tab w:val="left" w:pos="780"/>
      </w:tabs>
      <w:spacing w:line="276" w:lineRule="auto"/>
      <w:ind w:left="420" w:leftChars="200"/>
    </w:pPr>
    <w:rPr>
      <w:szCs w:val="21"/>
    </w:rPr>
  </w:style>
  <w:style w:type="paragraph" w:customStyle="1" w:styleId="273">
    <w:name w:val="样式1-4 Times New Roman行距: 多倍行距 1.15 字行 + 左侧:  4 字符"/>
    <w:basedOn w:val="1"/>
    <w:semiHidden/>
    <w:qFormat/>
    <w:uiPriority w:val="0"/>
    <w:pPr>
      <w:tabs>
        <w:tab w:val="left" w:pos="315"/>
      </w:tabs>
      <w:spacing w:line="276" w:lineRule="auto"/>
      <w:ind w:left="840" w:leftChars="400"/>
    </w:pPr>
    <w:rPr>
      <w:szCs w:val="21"/>
    </w:rPr>
  </w:style>
  <w:style w:type="paragraph" w:customStyle="1" w:styleId="274">
    <w:name w:val="附录-标准"/>
    <w:basedOn w:val="1"/>
    <w:link w:val="275"/>
    <w:qFormat/>
    <w:uiPriority w:val="0"/>
    <w:pPr>
      <w:widowControl/>
      <w:tabs>
        <w:tab w:val="left" w:pos="3462"/>
      </w:tabs>
      <w:spacing w:after="284"/>
      <w:contextualSpacing/>
      <w:outlineLvl w:val="0"/>
    </w:pPr>
    <w:rPr>
      <w:rFonts w:ascii="黑体" w:hAnsi="黑体" w:eastAsia="黑体"/>
      <w:sz w:val="32"/>
      <w:szCs w:val="32"/>
    </w:rPr>
  </w:style>
  <w:style w:type="character" w:customStyle="1" w:styleId="275">
    <w:name w:val="附录-标准 字符"/>
    <w:link w:val="274"/>
    <w:qFormat/>
    <w:uiPriority w:val="0"/>
    <w:rPr>
      <w:rFonts w:ascii="黑体" w:hAnsi="黑体" w:eastAsia="黑体"/>
      <w:kern w:val="2"/>
      <w:sz w:val="32"/>
      <w:szCs w:val="32"/>
    </w:rPr>
  </w:style>
  <w:style w:type="paragraph" w:customStyle="1" w:styleId="276">
    <w:name w:val="附录-条目-标准"/>
    <w:basedOn w:val="1"/>
    <w:link w:val="277"/>
    <w:qFormat/>
    <w:uiPriority w:val="0"/>
    <w:pPr>
      <w:widowControl/>
      <w:numPr>
        <w:ilvl w:val="1"/>
        <w:numId w:val="22"/>
      </w:numPr>
      <w:tabs>
        <w:tab w:val="left" w:pos="360"/>
      </w:tabs>
      <w:wordWrap w:val="0"/>
      <w:overflowPunct w:val="0"/>
      <w:autoSpaceDE w:val="0"/>
      <w:spacing w:before="312" w:after="312"/>
      <w:textAlignment w:val="baseline"/>
      <w:outlineLvl w:val="1"/>
    </w:pPr>
    <w:rPr>
      <w:rFonts w:ascii="黑体" w:hAnsi="黑体" w:eastAsia="黑体" w:cs="黑体"/>
      <w:kern w:val="21"/>
      <w:szCs w:val="21"/>
    </w:rPr>
  </w:style>
  <w:style w:type="character" w:customStyle="1" w:styleId="277">
    <w:name w:val="附录-条目-标准 字符"/>
    <w:link w:val="276"/>
    <w:qFormat/>
    <w:uiPriority w:val="0"/>
    <w:rPr>
      <w:rFonts w:ascii="黑体" w:hAnsi="黑体" w:eastAsia="黑体" w:cs="黑体"/>
      <w:kern w:val="21"/>
      <w:sz w:val="21"/>
      <w:szCs w:val="21"/>
    </w:rPr>
  </w:style>
  <w:style w:type="paragraph" w:customStyle="1" w:styleId="278">
    <w:name w:val="附录-章-标准"/>
    <w:basedOn w:val="276"/>
    <w:link w:val="279"/>
    <w:qFormat/>
    <w:uiPriority w:val="0"/>
    <w:pPr>
      <w:numPr>
        <w:ilvl w:val="0"/>
      </w:numPr>
      <w:spacing w:before="0" w:after="0"/>
      <w:outlineLvl w:val="0"/>
    </w:pPr>
  </w:style>
  <w:style w:type="character" w:customStyle="1" w:styleId="279">
    <w:name w:val="附录-章-标准 字符"/>
    <w:link w:val="278"/>
    <w:qFormat/>
    <w:uiPriority w:val="0"/>
    <w:rPr>
      <w:rFonts w:ascii="黑体" w:hAnsi="黑体" w:eastAsia="黑体" w:cs="黑体"/>
      <w:kern w:val="21"/>
      <w:sz w:val="21"/>
      <w:szCs w:val="21"/>
    </w:rPr>
  </w:style>
  <w:style w:type="paragraph" w:customStyle="1" w:styleId="280">
    <w:name w:val="00-正文"/>
    <w:basedOn w:val="1"/>
    <w:link w:val="281"/>
    <w:qFormat/>
    <w:uiPriority w:val="0"/>
    <w:pPr>
      <w:spacing w:line="400" w:lineRule="exact"/>
      <w:ind w:firstLine="420"/>
    </w:pPr>
    <w:rPr>
      <w:rFonts w:hAnsi="Calibri" w:cs="Calibri"/>
      <w:szCs w:val="21"/>
    </w:rPr>
  </w:style>
  <w:style w:type="character" w:customStyle="1" w:styleId="281">
    <w:name w:val="00-正文 Char"/>
    <w:link w:val="280"/>
    <w:qFormat/>
    <w:uiPriority w:val="0"/>
    <w:rPr>
      <w:rFonts w:ascii="宋体" w:hAnsi="Calibri" w:cs="Calibri"/>
      <w:kern w:val="2"/>
      <w:sz w:val="21"/>
      <w:szCs w:val="21"/>
    </w:rPr>
  </w:style>
  <w:style w:type="paragraph" w:customStyle="1" w:styleId="282">
    <w:name w:val="正文-标准"/>
    <w:basedOn w:val="1"/>
    <w:link w:val="283"/>
    <w:qFormat/>
    <w:uiPriority w:val="0"/>
    <w:pPr>
      <w:ind w:firstLine="200" w:firstLineChars="200"/>
    </w:pPr>
    <w:rPr>
      <w:rFonts w:cs="宋体"/>
      <w:szCs w:val="21"/>
    </w:rPr>
  </w:style>
  <w:style w:type="character" w:customStyle="1" w:styleId="283">
    <w:name w:val="正文-标准 字符"/>
    <w:link w:val="282"/>
    <w:qFormat/>
    <w:uiPriority w:val="0"/>
    <w:rPr>
      <w:rFonts w:ascii="宋体" w:hAnsi="宋体" w:cs="宋体"/>
      <w:kern w:val="2"/>
      <w:sz w:val="21"/>
      <w:szCs w:val="21"/>
    </w:rPr>
  </w:style>
  <w:style w:type="character" w:customStyle="1" w:styleId="284">
    <w:name w:val="c-color-gray2"/>
    <w:qFormat/>
    <w:uiPriority w:val="0"/>
  </w:style>
  <w:style w:type="character" w:customStyle="1" w:styleId="285">
    <w:name w:val="content-right_8zs40"/>
    <w:qFormat/>
    <w:uiPriority w:val="0"/>
  </w:style>
  <w:style w:type="paragraph" w:customStyle="1" w:styleId="28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87">
    <w:name w:val="Table Text"/>
    <w:basedOn w:val="1"/>
    <w:semiHidden/>
    <w:qFormat/>
    <w:uiPriority w:val="0"/>
    <w:pPr>
      <w:kinsoku w:val="0"/>
      <w:autoSpaceDE w:val="0"/>
      <w:autoSpaceDN w:val="0"/>
      <w:adjustRightInd w:val="0"/>
      <w:snapToGrid w:val="0"/>
      <w:spacing w:before="73" w:line="220" w:lineRule="auto"/>
      <w:textAlignment w:val="baseline"/>
    </w:pPr>
    <w:rPr>
      <w:rFonts w:ascii="Times New Roman" w:hAnsi="Times New Roman"/>
      <w:snapToGrid w:val="0"/>
      <w:color w:val="000000"/>
      <w:kern w:val="0"/>
      <w:sz w:val="18"/>
      <w:szCs w:val="18"/>
      <w:lang w:eastAsia="en-US"/>
    </w:rPr>
  </w:style>
  <w:style w:type="table" w:customStyle="1" w:styleId="288">
    <w:name w:val="Table Normal1"/>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table" w:customStyle="1" w:styleId="289">
    <w:name w:val="Table Normal2"/>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290">
    <w:name w:val="TOC 标题1"/>
    <w:basedOn w:val="2"/>
    <w:next w:val="1"/>
    <w:unhideWhenUsed/>
    <w:qFormat/>
    <w:uiPriority w:val="39"/>
    <w:pPr>
      <w:numPr>
        <w:numId w:val="0"/>
      </w:numPr>
      <w:kinsoku w:val="0"/>
      <w:autoSpaceDE w:val="0"/>
      <w:autoSpaceDN w:val="0"/>
      <w:adjustRightInd/>
      <w:snapToGrid w:val="0"/>
      <w:spacing w:before="240" w:beforeLines="0" w:after="0" w:afterLines="0" w:line="259" w:lineRule="auto"/>
      <w:jc w:val="left"/>
      <w:textAlignment w:val="baseline"/>
      <w:outlineLvl w:val="9"/>
    </w:pPr>
    <w:rPr>
      <w:rFonts w:asciiTheme="majorHAnsi" w:hAnsiTheme="majorHAnsi" w:eastAsiaTheme="majorEastAsia" w:cstheme="majorBidi"/>
      <w:b w:val="0"/>
      <w:bCs w:val="0"/>
      <w:color w:val="376092" w:themeColor="accent1" w:themeShade="BF"/>
      <w:kern w:val="0"/>
      <w:szCs w:val="32"/>
      <w:lang w:eastAsia="zh-CN"/>
    </w:rPr>
  </w:style>
  <w:style w:type="paragraph" w:customStyle="1" w:styleId="29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2">
    <w:name w:val="标准文件_章标题"/>
    <w:next w:val="291"/>
    <w:qFormat/>
    <w:uiPriority w:val="0"/>
    <w:pPr>
      <w:numPr>
        <w:ilvl w:val="1"/>
        <w:numId w:val="2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93">
    <w:name w:val="标准文件_一级条标题"/>
    <w:basedOn w:val="292"/>
    <w:next w:val="291"/>
    <w:qFormat/>
    <w:uiPriority w:val="0"/>
    <w:pPr>
      <w:numPr>
        <w:ilvl w:val="2"/>
      </w:numPr>
      <w:spacing w:before="50" w:beforeLines="50" w:after="50" w:afterLines="50"/>
      <w:outlineLvl w:val="1"/>
    </w:pPr>
  </w:style>
  <w:style w:type="paragraph" w:customStyle="1" w:styleId="294">
    <w:name w:val="标准文件_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11</Pages>
  <Words>5456</Words>
  <Characters>6085</Characters>
  <Lines>50</Lines>
  <Paragraphs>14</Paragraphs>
  <TotalTime>5</TotalTime>
  <ScaleCrop>false</ScaleCrop>
  <LinksUpToDate>false</LinksUpToDate>
  <CharactersWithSpaces>6237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2019-11-21T14:04:00Z</dcterms:created>
  <dc:creator>CNIS</dc:creator>
  <cp:lastModifiedBy>技术所</cp:lastModifiedBy>
  <cp:lastPrinted>2024-04-26T19:18:00Z</cp:lastPrinted>
  <dcterms:modified xsi:type="dcterms:W3CDTF">2026-04-02T07:11:58Z</dcterms:modified>
  <dc:title>标准名称</dc:title>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E92B4E51648A4CAA812268B06407D19B_13</vt:lpwstr>
  </property>
  <property fmtid="{D5CDD505-2E9C-101B-9397-08002B2CF9AE}" pid="4" name="KSOTemplateDocerSaveRecord">
    <vt:lpwstr>eyJoZGlkIjoiNzc5NTlkNjRlMTUzMjBlMzlkYzQ0MDRhZWYyNzAyMDgiLCJ1c2VySWQiOiIxOTgxMjA0MzQifQ==</vt:lpwstr>
  </property>
</Properties>
</file>